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92" w:rsidRDefault="00817B52">
      <w:r w:rsidRPr="00817B52">
        <w:rPr>
          <w:noProof/>
          <w:lang w:val="en-US" w:bidi="bn-BD"/>
        </w:rPr>
        <w:pict>
          <v:shapetype id="_x0000_t202" coordsize="21600,21600" o:spt="202" path="m,l,21600r21600,l21600,xe">
            <v:stroke joinstyle="miter"/>
            <v:path gradientshapeok="t" o:connecttype="rect"/>
          </v:shapetype>
          <v:shape id="Text Box 1" o:spid="_x0000_s1026" type="#_x0000_t202" style="position:absolute;margin-left:6.75pt;margin-top:3.25pt;width:591.75pt;height:100pt;z-index:251658241;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" filled="f" stroked="f" strokeweight=".5pt">
            <v:textbox>
              <w:txbxContent>
                <w:p w:rsidR="009328F4" w:rsidRPr="00401EBB" w:rsidRDefault="009328F4" w:rsidP="00401EBB">
                  <w:pPr>
                    <w:spacing w:after="0"/>
                    <w:jc w:val="center"/>
                    <w:rPr>
                      <w:rFonts w:ascii="Arial" w:hAnsi="Arial"/>
                      <w:b/>
                      <w:color w:val="FFFFFF" w:themeColor="background1"/>
                      <w:sz w:val="56"/>
                      <w:szCs w:val="56"/>
                    </w:rPr>
                  </w:pPr>
                  <w:r w:rsidRPr="00401EBB">
                    <w:rPr>
                      <w:rFonts w:ascii="Arial" w:hAnsi="Arial"/>
                      <w:b/>
                      <w:color w:val="FFFFFF" w:themeColor="background1"/>
                      <w:sz w:val="56"/>
                      <w:szCs w:val="56"/>
                    </w:rPr>
                    <w:t>FUNDING REQUEST APPLICATION FORM</w:t>
                  </w:r>
                </w:p>
                <w:p w:rsidR="009328F4" w:rsidRPr="00AB3764" w:rsidRDefault="009328F4" w:rsidP="00401EBB">
                  <w:pPr>
                    <w:spacing w:after="0"/>
                    <w:jc w:val="center"/>
                    <w:rPr>
                      <w:rFonts w:ascii="Arial" w:hAnsi="Arial"/>
                      <w:b/>
                      <w:color w:val="FFFFFF" w:themeColor="background1"/>
                      <w:sz w:val="52"/>
                      <w:szCs w:val="52"/>
                    </w:rPr>
                  </w:pPr>
                  <w:r w:rsidRPr="00AB3764">
                    <w:rPr>
                      <w:rFonts w:ascii="Arial" w:hAnsi="Arial"/>
                      <w:b/>
                      <w:color w:val="FFFFFF" w:themeColor="background1"/>
                      <w:sz w:val="52"/>
                      <w:szCs w:val="52"/>
                    </w:rPr>
                    <w:t>F</w:t>
                  </w:r>
                  <w:r>
                    <w:rPr>
                      <w:rFonts w:ascii="Arial" w:hAnsi="Arial"/>
                      <w:b/>
                      <w:color w:val="FFFFFF" w:themeColor="background1"/>
                      <w:sz w:val="52"/>
                      <w:szCs w:val="52"/>
                    </w:rPr>
                    <w:t>ull</w:t>
                  </w:r>
                  <w:r w:rsidRPr="00AB3764">
                    <w:rPr>
                      <w:rFonts w:ascii="Arial" w:hAnsi="Arial"/>
                      <w:b/>
                      <w:color w:val="FFFFFF" w:themeColor="background1"/>
                      <w:sz w:val="52"/>
                      <w:szCs w:val="52"/>
                    </w:rPr>
                    <w:t xml:space="preserve"> R</w:t>
                  </w:r>
                  <w:r>
                    <w:rPr>
                      <w:rFonts w:ascii="Arial" w:hAnsi="Arial"/>
                      <w:b/>
                      <w:color w:val="FFFFFF" w:themeColor="background1"/>
                      <w:sz w:val="52"/>
                      <w:szCs w:val="52"/>
                    </w:rPr>
                    <w:t>eview</w:t>
                  </w:r>
                </w:p>
              </w:txbxContent>
            </v:textbox>
            <w10:wrap anchorx="page"/>
          </v:shape>
        </w:pict>
      </w:r>
      <w:r w:rsidRPr="00817B52">
        <w:rPr>
          <w:noProof/>
          <w:lang w:val="en-US" w:bidi="bn-BD"/>
        </w:rPr>
        <w:pict>
          <v:rect id="Rectangle 15" o:spid="_x0000_s1027" style="position:absolute;margin-left:-1pt;margin-top:-71.25pt;width:595.9pt;height:181.35pt;z-index:25165824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" fillcolor="#1f497d" strokecolor="#1f4d78 [1604]" strokeweight="1pt">
            <w10:wrap anchorx="page"/>
          </v:rect>
        </w:pict>
      </w:r>
      <w:r w:rsidR="00485BE4" w:rsidRPr="00042DCA">
        <w:rPr>
          <w:noProof/>
          <w:lang w:eastAsia="en-GB"/>
        </w:rPr>
        <w:drawing>
          <wp:anchor distT="0" distB="0" distL="114300" distR="114300" simplePos="0" relativeHeight="251658242" behindDoc="0" locked="0" layoutInCell="1" allowOverlap="1">
            <wp:simplePos x="0" y="0"/>
            <wp:positionH relativeFrom="column">
              <wp:posOffset>-485140</wp:posOffset>
            </wp:positionH>
            <wp:positionV relativeFrom="paragraph">
              <wp:posOffset>-582295</wp:posOffset>
            </wp:positionV>
            <wp:extent cx="2947035" cy="441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CMYK_on_black.tif"/>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47035" cy="441325"/>
                    </a:xfrm>
                    <a:prstGeom prst="rect">
                      <a:avLst/>
                    </a:prstGeom>
                  </pic:spPr>
                </pic:pic>
              </a:graphicData>
            </a:graphic>
          </wp:anchor>
        </w:drawing>
      </w:r>
    </w:p>
    <w:p w:rsidR="00042DCA" w:rsidRDefault="00042DCA"/>
    <w:p w:rsidR="00042DCA" w:rsidRDefault="00042DCA"/>
    <w:p w:rsidR="00042DCA" w:rsidRDefault="00042DCA"/>
    <w:p w:rsidR="00042DCA" w:rsidRDefault="00042DCA"/>
    <w:p w:rsidR="00322634" w:rsidRPr="006B7572" w:rsidRDefault="00322634">
      <w:pPr>
        <w:rPr>
          <w:rFonts w:ascii="Arial" w:hAnsi="Arial" w:cs="Arial"/>
          <w:sz w:val="20"/>
          <w:szCs w:val="20"/>
        </w:rPr>
      </w:pPr>
    </w:p>
    <w:tbl>
      <w:tblPr>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263"/>
        <w:gridCol w:w="2127"/>
        <w:gridCol w:w="2409"/>
        <w:gridCol w:w="2410"/>
      </w:tblGrid>
      <w:tr w:rsidR="00322634" w:rsidRPr="006B7572" w:rsidTr="00FE411C">
        <w:trPr>
          <w:trHeight w:val="558"/>
        </w:trPr>
        <w:tc>
          <w:tcPr>
            <w:tcW w:w="9209" w:type="dxa"/>
            <w:gridSpan w:val="4"/>
            <w:shd w:val="clear" w:color="auto" w:fill="1F497D"/>
            <w:vAlign w:val="center"/>
          </w:tcPr>
          <w:p w:rsidR="00322634" w:rsidRPr="006B7572" w:rsidRDefault="00322634" w:rsidP="00005E61">
            <w:pPr>
              <w:tabs>
                <w:tab w:val="right" w:pos="-1800"/>
                <w:tab w:val="left" w:pos="1440"/>
              </w:tabs>
              <w:jc w:val="both"/>
              <w:rPr>
                <w:rFonts w:ascii="Arial" w:eastAsia="SimSun" w:hAnsi="Arial"/>
                <w:b/>
                <w:lang w:eastAsia="zh-CN"/>
              </w:rPr>
            </w:pPr>
            <w:r w:rsidRPr="006B7572">
              <w:rPr>
                <w:rFonts w:ascii="Arial" w:eastAsia="SimSun" w:hAnsi="Arial"/>
                <w:lang w:eastAsia="zh-CN"/>
              </w:rPr>
              <w:br w:type="page"/>
            </w:r>
            <w:r w:rsidRPr="00B555E1">
              <w:rPr>
                <w:rFonts w:ascii="Arial" w:eastAsia="SimSun" w:hAnsi="Arial"/>
                <w:b/>
                <w:color w:val="FFFFFF" w:themeColor="background1"/>
                <w:shd w:val="clear" w:color="auto" w:fill="1F497D"/>
                <w:lang w:eastAsia="zh-CN"/>
              </w:rPr>
              <w:t>SUMMARY INFORMATION</w:t>
            </w:r>
          </w:p>
        </w:tc>
      </w:tr>
      <w:tr w:rsidR="00322634" w:rsidRPr="006B7572" w:rsidTr="00FE411C">
        <w:trPr>
          <w:trHeight w:val="531"/>
        </w:trPr>
        <w:tc>
          <w:tcPr>
            <w:tcW w:w="2263" w:type="dxa"/>
            <w:shd w:val="clear" w:color="auto" w:fill="F2F2F2" w:themeFill="background1" w:themeFillShade="F2"/>
            <w:vAlign w:val="center"/>
          </w:tcPr>
          <w:p w:rsidR="00322634" w:rsidRPr="006B7572" w:rsidRDefault="00322634" w:rsidP="00005E61">
            <w:pPr>
              <w:tabs>
                <w:tab w:val="right" w:pos="-1800"/>
                <w:tab w:val="left" w:pos="1440"/>
              </w:tabs>
              <w:ind w:right="-613"/>
              <w:jc w:val="both"/>
              <w:rPr>
                <w:rFonts w:ascii="Arial" w:eastAsia="SimSun" w:hAnsi="Arial"/>
                <w:b/>
                <w:lang w:eastAsia="zh-CN"/>
              </w:rPr>
            </w:pPr>
            <w:r w:rsidRPr="006B7572">
              <w:rPr>
                <w:rFonts w:ascii="Arial" w:eastAsia="SimSun" w:hAnsi="Arial"/>
                <w:b/>
                <w:lang w:eastAsia="zh-CN"/>
              </w:rPr>
              <w:t>Applicant</w:t>
            </w:r>
          </w:p>
        </w:tc>
        <w:tc>
          <w:tcPr>
            <w:tcW w:w="6946" w:type="dxa"/>
            <w:gridSpan w:val="3"/>
            <w:vAlign w:val="center"/>
          </w:tcPr>
          <w:p w:rsidR="00322634" w:rsidRPr="006B7572" w:rsidRDefault="00513F8F" w:rsidP="00005E61">
            <w:pPr>
              <w:tabs>
                <w:tab w:val="right" w:pos="-1800"/>
                <w:tab w:val="left" w:pos="1440"/>
              </w:tabs>
              <w:ind w:right="-613"/>
              <w:rPr>
                <w:rFonts w:ascii="Arial" w:eastAsia="SimSun" w:hAnsi="Arial"/>
                <w:lang w:eastAsia="zh-CN"/>
              </w:rPr>
            </w:pPr>
            <w:r>
              <w:rPr>
                <w:rFonts w:ascii="Arial" w:eastAsia="SimSun" w:hAnsi="Arial"/>
                <w:lang w:eastAsia="zh-CN"/>
              </w:rPr>
              <w:t>Bangladesh</w:t>
            </w:r>
          </w:p>
        </w:tc>
      </w:tr>
      <w:tr w:rsidR="00322634" w:rsidRPr="006B7572" w:rsidTr="00FE411C">
        <w:trPr>
          <w:trHeight w:val="552"/>
        </w:trPr>
        <w:tc>
          <w:tcPr>
            <w:tcW w:w="2263" w:type="dxa"/>
            <w:shd w:val="clear" w:color="auto" w:fill="F2F2F2" w:themeFill="background1" w:themeFillShade="F2"/>
            <w:vAlign w:val="center"/>
          </w:tcPr>
          <w:p w:rsidR="00322634" w:rsidRPr="006B7572" w:rsidRDefault="00322634" w:rsidP="00005E61">
            <w:pPr>
              <w:tabs>
                <w:tab w:val="right" w:pos="-1800"/>
                <w:tab w:val="left" w:pos="1440"/>
              </w:tabs>
              <w:ind w:right="34"/>
              <w:rPr>
                <w:rFonts w:ascii="Arial" w:eastAsia="SimSun" w:hAnsi="Arial"/>
                <w:b/>
                <w:lang w:eastAsia="zh-CN"/>
              </w:rPr>
            </w:pPr>
            <w:r w:rsidRPr="006B7572">
              <w:rPr>
                <w:rFonts w:ascii="Arial" w:eastAsia="SimSun" w:hAnsi="Arial"/>
                <w:b/>
                <w:bCs/>
                <w:lang w:eastAsia="zh-CN"/>
              </w:rPr>
              <w:t>Component(s)</w:t>
            </w:r>
          </w:p>
        </w:tc>
        <w:tc>
          <w:tcPr>
            <w:tcW w:w="6946" w:type="dxa"/>
            <w:gridSpan w:val="3"/>
            <w:vAlign w:val="center"/>
          </w:tcPr>
          <w:p w:rsidR="00322634" w:rsidRPr="006B7572" w:rsidRDefault="00513F8F" w:rsidP="00005E61">
            <w:pPr>
              <w:tabs>
                <w:tab w:val="right" w:pos="-1800"/>
                <w:tab w:val="left" w:pos="1440"/>
              </w:tabs>
              <w:ind w:right="-613"/>
              <w:jc w:val="both"/>
              <w:rPr>
                <w:rFonts w:ascii="Arial" w:eastAsia="SimSun" w:hAnsi="Arial"/>
                <w:lang w:eastAsia="zh-CN"/>
              </w:rPr>
            </w:pPr>
            <w:r>
              <w:rPr>
                <w:rFonts w:ascii="Arial" w:eastAsia="SimSun" w:hAnsi="Arial"/>
                <w:lang w:eastAsia="zh-CN"/>
              </w:rPr>
              <w:t>Malaria</w:t>
            </w:r>
          </w:p>
        </w:tc>
      </w:tr>
      <w:tr w:rsidR="00322634" w:rsidRPr="006B7572" w:rsidTr="00FE411C">
        <w:trPr>
          <w:trHeight w:val="560"/>
        </w:trPr>
        <w:tc>
          <w:tcPr>
            <w:tcW w:w="2263" w:type="dxa"/>
            <w:shd w:val="clear" w:color="auto" w:fill="F2F2F2" w:themeFill="background1" w:themeFillShade="F2"/>
            <w:vAlign w:val="center"/>
          </w:tcPr>
          <w:p w:rsidR="00322634" w:rsidRPr="006B7572" w:rsidRDefault="00322634" w:rsidP="00C61560">
            <w:pPr>
              <w:tabs>
                <w:tab w:val="right" w:pos="-1800"/>
                <w:tab w:val="left" w:pos="1440"/>
              </w:tabs>
              <w:ind w:right="34"/>
              <w:rPr>
                <w:rFonts w:ascii="Arial" w:eastAsia="SimSun" w:hAnsi="Arial"/>
                <w:b/>
                <w:lang w:eastAsia="zh-CN"/>
              </w:rPr>
            </w:pPr>
            <w:r w:rsidRPr="006B7572">
              <w:rPr>
                <w:rFonts w:ascii="Arial" w:eastAsia="SimSun" w:hAnsi="Arial"/>
                <w:b/>
                <w:lang w:eastAsia="zh-CN"/>
              </w:rPr>
              <w:t xml:space="preserve">Principal </w:t>
            </w:r>
            <w:r w:rsidR="001631BD" w:rsidRPr="006B7572">
              <w:rPr>
                <w:rFonts w:ascii="Arial" w:eastAsia="SimSun" w:hAnsi="Arial"/>
                <w:b/>
                <w:lang w:eastAsia="zh-CN"/>
              </w:rPr>
              <w:t>R</w:t>
            </w:r>
            <w:r w:rsidRPr="006B7572">
              <w:rPr>
                <w:rFonts w:ascii="Arial" w:eastAsia="SimSun" w:hAnsi="Arial"/>
                <w:b/>
                <w:lang w:eastAsia="zh-CN"/>
              </w:rPr>
              <w:t>ecipient(s)</w:t>
            </w:r>
          </w:p>
        </w:tc>
        <w:tc>
          <w:tcPr>
            <w:tcW w:w="6946" w:type="dxa"/>
            <w:gridSpan w:val="3"/>
            <w:vAlign w:val="center"/>
          </w:tcPr>
          <w:p w:rsidR="00322634" w:rsidRPr="006B7572" w:rsidRDefault="00C63FDB" w:rsidP="00005E61">
            <w:pPr>
              <w:tabs>
                <w:tab w:val="right" w:pos="-1800"/>
                <w:tab w:val="left" w:pos="1440"/>
              </w:tabs>
              <w:ind w:right="-613"/>
              <w:jc w:val="both"/>
              <w:rPr>
                <w:rFonts w:ascii="Arial" w:eastAsia="SimSun" w:hAnsi="Arial"/>
                <w:lang w:eastAsia="zh-CN"/>
              </w:rPr>
            </w:pPr>
            <w:r>
              <w:rPr>
                <w:rFonts w:ascii="Arial" w:eastAsia="SimSun" w:hAnsi="Arial"/>
                <w:lang w:eastAsia="zh-CN"/>
              </w:rPr>
              <w:t>Ministry of Finance</w:t>
            </w:r>
            <w:r w:rsidR="00E238EA">
              <w:rPr>
                <w:rFonts w:ascii="Arial" w:eastAsia="SimSun" w:hAnsi="Arial"/>
                <w:lang w:eastAsia="zh-CN"/>
              </w:rPr>
              <w:t xml:space="preserve"> and BRAC</w:t>
            </w:r>
          </w:p>
        </w:tc>
      </w:tr>
      <w:tr w:rsidR="00322634" w:rsidRPr="006B7572" w:rsidTr="00FE411C">
        <w:trPr>
          <w:trHeight w:val="554"/>
        </w:trPr>
        <w:tc>
          <w:tcPr>
            <w:tcW w:w="2263" w:type="dxa"/>
            <w:shd w:val="clear" w:color="auto" w:fill="F2F2F2" w:themeFill="background1" w:themeFillShade="F2"/>
            <w:vAlign w:val="center"/>
          </w:tcPr>
          <w:p w:rsidR="00322634" w:rsidRPr="006B7572" w:rsidRDefault="00322634" w:rsidP="00C61560">
            <w:pPr>
              <w:tabs>
                <w:tab w:val="right" w:pos="-1800"/>
                <w:tab w:val="left" w:pos="1440"/>
              </w:tabs>
              <w:ind w:right="34"/>
              <w:rPr>
                <w:rFonts w:ascii="Arial" w:eastAsia="SimSun" w:hAnsi="Arial"/>
                <w:b/>
                <w:lang w:eastAsia="zh-CN"/>
              </w:rPr>
            </w:pPr>
            <w:r w:rsidRPr="006B7572">
              <w:rPr>
                <w:rFonts w:ascii="Arial" w:eastAsia="SimSun" w:hAnsi="Arial"/>
                <w:b/>
                <w:lang w:eastAsia="zh-CN"/>
              </w:rPr>
              <w:t xml:space="preserve">Envisioned grant(s) </w:t>
            </w:r>
            <w:r w:rsidR="00C61560" w:rsidRPr="006B7572">
              <w:rPr>
                <w:rFonts w:ascii="Arial" w:eastAsia="SimSun" w:hAnsi="Arial"/>
                <w:b/>
                <w:lang w:eastAsia="zh-CN"/>
              </w:rPr>
              <w:t>s</w:t>
            </w:r>
            <w:r w:rsidRPr="006B7572">
              <w:rPr>
                <w:rFonts w:ascii="Arial" w:eastAsia="SimSun" w:hAnsi="Arial"/>
                <w:b/>
                <w:lang w:eastAsia="zh-CN"/>
              </w:rPr>
              <w:t xml:space="preserve">tart </w:t>
            </w:r>
            <w:r w:rsidR="00C61560" w:rsidRPr="006B7572">
              <w:rPr>
                <w:rFonts w:ascii="Arial" w:eastAsia="SimSun" w:hAnsi="Arial"/>
                <w:b/>
                <w:lang w:eastAsia="zh-CN"/>
              </w:rPr>
              <w:t>d</w:t>
            </w:r>
            <w:r w:rsidRPr="006B7572">
              <w:rPr>
                <w:rFonts w:ascii="Arial" w:eastAsia="SimSun" w:hAnsi="Arial"/>
                <w:b/>
                <w:lang w:eastAsia="zh-CN"/>
              </w:rPr>
              <w:t xml:space="preserve">ate </w:t>
            </w:r>
          </w:p>
        </w:tc>
        <w:tc>
          <w:tcPr>
            <w:tcW w:w="2127" w:type="dxa"/>
            <w:vAlign w:val="center"/>
          </w:tcPr>
          <w:p w:rsidR="00322634" w:rsidRPr="006B7572" w:rsidRDefault="00513F8F" w:rsidP="00005E61">
            <w:pPr>
              <w:tabs>
                <w:tab w:val="right" w:pos="-1800"/>
                <w:tab w:val="left" w:pos="1440"/>
              </w:tabs>
              <w:ind w:right="-613"/>
              <w:jc w:val="both"/>
              <w:rPr>
                <w:rFonts w:ascii="Arial" w:eastAsia="SimSun" w:hAnsi="Arial"/>
                <w:lang w:eastAsia="zh-CN"/>
              </w:rPr>
            </w:pPr>
            <w:r>
              <w:rPr>
                <w:rFonts w:ascii="Arial" w:eastAsia="SimSun" w:hAnsi="Arial"/>
                <w:lang w:eastAsia="zh-CN"/>
              </w:rPr>
              <w:t>1 January 2018</w:t>
            </w:r>
          </w:p>
        </w:tc>
        <w:tc>
          <w:tcPr>
            <w:tcW w:w="2409" w:type="dxa"/>
            <w:shd w:val="clear" w:color="auto" w:fill="F2F2F2" w:themeFill="background1" w:themeFillShade="F2"/>
            <w:vAlign w:val="center"/>
          </w:tcPr>
          <w:p w:rsidR="00322634" w:rsidRPr="006B7572" w:rsidRDefault="00322634" w:rsidP="00C61560">
            <w:pPr>
              <w:tabs>
                <w:tab w:val="right" w:pos="-1800"/>
                <w:tab w:val="left" w:pos="1440"/>
              </w:tabs>
              <w:ind w:right="169"/>
              <w:rPr>
                <w:rFonts w:ascii="Arial" w:eastAsia="SimSun" w:hAnsi="Arial"/>
                <w:b/>
                <w:lang w:eastAsia="zh-CN"/>
              </w:rPr>
            </w:pPr>
            <w:r w:rsidRPr="006B7572">
              <w:rPr>
                <w:rFonts w:ascii="Arial" w:eastAsia="SimSun" w:hAnsi="Arial"/>
                <w:b/>
                <w:lang w:eastAsia="zh-CN"/>
              </w:rPr>
              <w:t xml:space="preserve">Envisioned </w:t>
            </w:r>
            <w:r w:rsidR="00C61560" w:rsidRPr="006B7572">
              <w:rPr>
                <w:rFonts w:ascii="Arial" w:eastAsia="SimSun" w:hAnsi="Arial"/>
                <w:b/>
                <w:lang w:eastAsia="zh-CN"/>
              </w:rPr>
              <w:t>g</w:t>
            </w:r>
            <w:r w:rsidRPr="006B7572">
              <w:rPr>
                <w:rFonts w:ascii="Arial" w:eastAsia="SimSun" w:hAnsi="Arial"/>
                <w:b/>
                <w:lang w:eastAsia="zh-CN"/>
              </w:rPr>
              <w:t xml:space="preserve">rant(s) </w:t>
            </w:r>
            <w:r w:rsidR="00C61560" w:rsidRPr="006B7572">
              <w:rPr>
                <w:rFonts w:ascii="Arial" w:eastAsia="SimSun" w:hAnsi="Arial"/>
                <w:b/>
                <w:lang w:eastAsia="zh-CN"/>
              </w:rPr>
              <w:t>e</w:t>
            </w:r>
            <w:r w:rsidRPr="006B7572">
              <w:rPr>
                <w:rFonts w:ascii="Arial" w:eastAsia="SimSun" w:hAnsi="Arial"/>
                <w:b/>
                <w:lang w:eastAsia="zh-CN"/>
              </w:rPr>
              <w:t xml:space="preserve">nd </w:t>
            </w:r>
            <w:r w:rsidR="00C61560" w:rsidRPr="006B7572">
              <w:rPr>
                <w:rFonts w:ascii="Arial" w:eastAsia="SimSun" w:hAnsi="Arial"/>
                <w:b/>
                <w:lang w:eastAsia="zh-CN"/>
              </w:rPr>
              <w:t>d</w:t>
            </w:r>
            <w:r w:rsidRPr="006B7572">
              <w:rPr>
                <w:rFonts w:ascii="Arial" w:eastAsia="SimSun" w:hAnsi="Arial"/>
                <w:b/>
                <w:lang w:eastAsia="zh-CN"/>
              </w:rPr>
              <w:t xml:space="preserve">ate </w:t>
            </w:r>
          </w:p>
        </w:tc>
        <w:tc>
          <w:tcPr>
            <w:tcW w:w="2410" w:type="dxa"/>
          </w:tcPr>
          <w:p w:rsidR="00322634" w:rsidRPr="006B7572" w:rsidRDefault="00513F8F" w:rsidP="00005E61">
            <w:pPr>
              <w:tabs>
                <w:tab w:val="right" w:pos="-1800"/>
                <w:tab w:val="left" w:pos="1440"/>
              </w:tabs>
              <w:ind w:right="-613"/>
              <w:jc w:val="both"/>
              <w:rPr>
                <w:rFonts w:ascii="Arial" w:eastAsia="SimSun" w:hAnsi="Arial"/>
                <w:lang w:eastAsia="zh-CN"/>
              </w:rPr>
            </w:pPr>
            <w:r>
              <w:rPr>
                <w:rFonts w:ascii="Arial" w:eastAsia="SimSun" w:hAnsi="Arial"/>
                <w:lang w:eastAsia="zh-CN"/>
              </w:rPr>
              <w:t>31 December 2020</w:t>
            </w:r>
          </w:p>
        </w:tc>
      </w:tr>
      <w:tr w:rsidR="008945F5" w:rsidRPr="006B7572" w:rsidTr="00FE411C">
        <w:trPr>
          <w:trHeight w:val="562"/>
        </w:trPr>
        <w:tc>
          <w:tcPr>
            <w:tcW w:w="2263" w:type="dxa"/>
            <w:shd w:val="clear" w:color="auto" w:fill="F2F2F2" w:themeFill="background1" w:themeFillShade="F2"/>
            <w:vAlign w:val="center"/>
          </w:tcPr>
          <w:p w:rsidR="008945F5" w:rsidRPr="006B7572" w:rsidRDefault="00A12210" w:rsidP="00C61560">
            <w:pPr>
              <w:tabs>
                <w:tab w:val="right" w:pos="-1800"/>
                <w:tab w:val="left" w:pos="1440"/>
              </w:tabs>
              <w:ind w:right="34"/>
              <w:rPr>
                <w:rFonts w:ascii="Arial" w:eastAsia="SimSun" w:hAnsi="Arial"/>
                <w:b/>
                <w:lang w:eastAsia="zh-CN"/>
              </w:rPr>
            </w:pPr>
            <w:r w:rsidRPr="006B7572">
              <w:rPr>
                <w:rFonts w:ascii="Arial" w:eastAsia="SimSun" w:hAnsi="Arial"/>
                <w:b/>
                <w:lang w:eastAsia="zh-CN"/>
              </w:rPr>
              <w:t xml:space="preserve">Allocation </w:t>
            </w:r>
            <w:r w:rsidR="00C61560" w:rsidRPr="006B7572">
              <w:rPr>
                <w:rFonts w:ascii="Arial" w:eastAsia="SimSun" w:hAnsi="Arial"/>
                <w:b/>
                <w:lang w:eastAsia="zh-CN"/>
              </w:rPr>
              <w:t>f</w:t>
            </w:r>
            <w:r w:rsidRPr="006B7572">
              <w:rPr>
                <w:rFonts w:ascii="Arial" w:eastAsia="SimSun" w:hAnsi="Arial"/>
                <w:b/>
                <w:lang w:eastAsia="zh-CN"/>
              </w:rPr>
              <w:t xml:space="preserve">unding </w:t>
            </w:r>
            <w:r w:rsidR="00C61560" w:rsidRPr="006B7572">
              <w:rPr>
                <w:rFonts w:ascii="Arial" w:eastAsia="SimSun" w:hAnsi="Arial"/>
                <w:b/>
                <w:lang w:eastAsia="zh-CN"/>
              </w:rPr>
              <w:t>r</w:t>
            </w:r>
            <w:r w:rsidRPr="006B7572">
              <w:rPr>
                <w:rFonts w:ascii="Arial" w:eastAsia="SimSun" w:hAnsi="Arial"/>
                <w:b/>
                <w:lang w:eastAsia="zh-CN"/>
              </w:rPr>
              <w:t>equest</w:t>
            </w:r>
          </w:p>
        </w:tc>
        <w:tc>
          <w:tcPr>
            <w:tcW w:w="2127" w:type="dxa"/>
            <w:shd w:val="clear" w:color="auto" w:fill="auto"/>
            <w:vAlign w:val="center"/>
          </w:tcPr>
          <w:p w:rsidR="008945F5" w:rsidRPr="00BD20A6" w:rsidRDefault="00C63FDB" w:rsidP="00593530">
            <w:pPr>
              <w:tabs>
                <w:tab w:val="right" w:pos="-1800"/>
                <w:tab w:val="left" w:pos="1440"/>
              </w:tabs>
              <w:ind w:right="-613"/>
              <w:jc w:val="both"/>
              <w:rPr>
                <w:rFonts w:ascii="Arial" w:eastAsia="SimSun" w:hAnsi="Arial"/>
                <w:i/>
                <w:lang w:eastAsia="zh-CN"/>
              </w:rPr>
            </w:pPr>
            <w:r w:rsidRPr="00BD20A6">
              <w:rPr>
                <w:rFonts w:ascii="Arial" w:eastAsia="SimSun" w:hAnsi="Arial"/>
                <w:i/>
                <w:lang w:eastAsia="zh-CN"/>
              </w:rPr>
              <w:t>US$ 26.8 milllion</w:t>
            </w:r>
          </w:p>
        </w:tc>
        <w:tc>
          <w:tcPr>
            <w:tcW w:w="2409" w:type="dxa"/>
            <w:shd w:val="clear" w:color="auto" w:fill="F2F2F2" w:themeFill="background1" w:themeFillShade="F2"/>
            <w:vAlign w:val="center"/>
          </w:tcPr>
          <w:p w:rsidR="008945F5" w:rsidRPr="006B7572" w:rsidRDefault="00A12210" w:rsidP="008945F5">
            <w:pPr>
              <w:tabs>
                <w:tab w:val="right" w:pos="-1800"/>
                <w:tab w:val="left" w:pos="1440"/>
              </w:tabs>
              <w:ind w:right="169"/>
              <w:rPr>
                <w:rFonts w:ascii="Arial" w:eastAsia="SimSun" w:hAnsi="Arial"/>
                <w:b/>
                <w:lang w:eastAsia="zh-CN"/>
              </w:rPr>
            </w:pPr>
            <w:r w:rsidRPr="006B7572">
              <w:rPr>
                <w:rFonts w:ascii="Arial" w:eastAsia="SimSun" w:hAnsi="Arial"/>
                <w:b/>
                <w:lang w:eastAsia="zh-CN"/>
              </w:rPr>
              <w:t>Prioritized above allocation request</w:t>
            </w:r>
          </w:p>
        </w:tc>
        <w:tc>
          <w:tcPr>
            <w:tcW w:w="2410" w:type="dxa"/>
            <w:vAlign w:val="center"/>
          </w:tcPr>
          <w:p w:rsidR="008945F5" w:rsidRPr="006B7572" w:rsidRDefault="00C63FDB" w:rsidP="00593530">
            <w:pPr>
              <w:tabs>
                <w:tab w:val="right" w:pos="-1800"/>
                <w:tab w:val="left" w:pos="1440"/>
              </w:tabs>
              <w:ind w:right="-613"/>
              <w:jc w:val="both"/>
              <w:rPr>
                <w:rFonts w:ascii="Arial" w:eastAsia="SimSun" w:hAnsi="Arial"/>
                <w:lang w:eastAsia="zh-CN"/>
              </w:rPr>
            </w:pPr>
            <w:r w:rsidRPr="00C63FDB">
              <w:rPr>
                <w:rFonts w:ascii="Arial" w:eastAsia="SimSun" w:hAnsi="Arial"/>
                <w:highlight w:val="yellow"/>
                <w:lang w:eastAsia="zh-CN"/>
              </w:rPr>
              <w:t>US$ XXX</w:t>
            </w:r>
          </w:p>
        </w:tc>
      </w:tr>
    </w:tbl>
    <w:p w:rsidR="00322634" w:rsidRPr="006B7572" w:rsidRDefault="00322634" w:rsidP="00322634">
      <w:pPr>
        <w:rPr>
          <w:rFonts w:ascii="Arial" w:hAnsi="Arial" w:cs="Arial"/>
          <w:sz w:val="20"/>
          <w:szCs w:val="20"/>
        </w:rPr>
      </w:pPr>
    </w:p>
    <w:tbl>
      <w:tblPr>
        <w:tblW w:w="9191" w:type="dxa"/>
        <w:tblBorders>
          <w:top w:val="single" w:sz="18" w:space="0" w:color="365F91"/>
          <w:left w:val="single" w:sz="18" w:space="0" w:color="365F91"/>
          <w:bottom w:val="single" w:sz="18" w:space="0" w:color="365F91"/>
          <w:right w:val="single" w:sz="18" w:space="0" w:color="365F91"/>
          <w:insideH w:val="single" w:sz="18" w:space="0" w:color="365F91"/>
          <w:insideV w:val="single" w:sz="18" w:space="0" w:color="365F91"/>
        </w:tblBorders>
        <w:tblLook w:val="04A0"/>
      </w:tblPr>
      <w:tblGrid>
        <w:gridCol w:w="9191"/>
      </w:tblGrid>
      <w:tr w:rsidR="002C5DFD" w:rsidRPr="006B7572" w:rsidTr="006448A4">
        <w:tc>
          <w:tcPr>
            <w:tcW w:w="9191" w:type="dxa"/>
            <w:tcBorders>
              <w:top w:val="nil"/>
              <w:left w:val="nil"/>
              <w:bottom w:val="nil"/>
              <w:right w:val="nil"/>
            </w:tcBorders>
            <w:shd w:val="clear" w:color="auto" w:fill="EEECE1"/>
          </w:tcPr>
          <w:p w:rsidR="006C093E" w:rsidRPr="006B7572" w:rsidRDefault="002C5DFD" w:rsidP="002C5DFD">
            <w:pPr>
              <w:autoSpaceDE w:val="0"/>
              <w:autoSpaceDN w:val="0"/>
              <w:adjustRightInd w:val="0"/>
              <w:spacing w:before="120" w:after="120"/>
              <w:rPr>
                <w:rFonts w:ascii="Arial" w:hAnsi="Arial"/>
                <w:bCs/>
                <w:i/>
                <w:iCs/>
              </w:rPr>
            </w:pPr>
            <w:r w:rsidRPr="006B7572">
              <w:rPr>
                <w:rFonts w:ascii="Arial" w:hAnsi="Arial"/>
                <w:b/>
                <w:bCs/>
                <w:i/>
                <w:iCs/>
                <w:u w:val="single"/>
              </w:rPr>
              <w:t>IMPORTANT:</w:t>
            </w:r>
          </w:p>
          <w:p w:rsidR="006C093E" w:rsidRPr="006B7572" w:rsidRDefault="002C5DFD" w:rsidP="00FD5719">
            <w:pPr>
              <w:jc w:val="both"/>
              <w:rPr>
                <w:rFonts w:ascii="Arial" w:hAnsi="Arial"/>
                <w:bCs/>
                <w:iCs/>
              </w:rPr>
            </w:pPr>
            <w:r w:rsidRPr="006B7572">
              <w:rPr>
                <w:rFonts w:ascii="Arial" w:hAnsi="Arial"/>
                <w:b/>
                <w:bCs/>
                <w:iCs/>
              </w:rPr>
              <w:t xml:space="preserve">To complete </w:t>
            </w:r>
            <w:r w:rsidR="006C093E" w:rsidRPr="006B7572">
              <w:rPr>
                <w:rFonts w:ascii="Arial" w:hAnsi="Arial"/>
                <w:b/>
                <w:bCs/>
                <w:iCs/>
              </w:rPr>
              <w:t>this funding request</w:t>
            </w:r>
            <w:r w:rsidR="003F012C" w:rsidRPr="006B7572">
              <w:rPr>
                <w:rFonts w:ascii="Arial" w:hAnsi="Arial"/>
                <w:bCs/>
                <w:iCs/>
              </w:rPr>
              <w:t>, please:</w:t>
            </w:r>
          </w:p>
          <w:p w:rsidR="004759B7" w:rsidRPr="006B7572" w:rsidRDefault="004759B7" w:rsidP="00FD5719">
            <w:pPr>
              <w:jc w:val="both"/>
              <w:rPr>
                <w:rFonts w:ascii="Arial" w:hAnsi="Arial"/>
                <w:bCs/>
                <w:iCs/>
              </w:rPr>
            </w:pPr>
          </w:p>
          <w:p w:rsidR="003F012C" w:rsidRPr="006B7572" w:rsidRDefault="006C093E" w:rsidP="007205D8">
            <w:pPr>
              <w:pStyle w:val="ListParagraph"/>
              <w:numPr>
                <w:ilvl w:val="0"/>
                <w:numId w:val="3"/>
              </w:numPr>
              <w:jc w:val="both"/>
              <w:rPr>
                <w:rFonts w:ascii="Arial" w:hAnsi="Arial"/>
                <w:bCs/>
                <w:iCs/>
              </w:rPr>
            </w:pPr>
            <w:r w:rsidRPr="006B7572">
              <w:rPr>
                <w:rFonts w:ascii="Arial" w:hAnsi="Arial"/>
                <w:bCs/>
                <w:iCs/>
              </w:rPr>
              <w:t>R</w:t>
            </w:r>
            <w:r w:rsidR="002C5DFD" w:rsidRPr="006B7572">
              <w:rPr>
                <w:rFonts w:ascii="Arial" w:hAnsi="Arial"/>
                <w:bCs/>
                <w:iCs/>
              </w:rPr>
              <w:t>efer to</w:t>
            </w:r>
            <w:r w:rsidR="00391109" w:rsidRPr="006B7572">
              <w:rPr>
                <w:rFonts w:ascii="Arial" w:hAnsi="Arial"/>
                <w:bCs/>
                <w:iCs/>
              </w:rPr>
              <w:t xml:space="preserve"> the</w:t>
            </w:r>
            <w:r w:rsidR="00AA2A8D" w:rsidRPr="006B7572">
              <w:rPr>
                <w:rFonts w:ascii="Arial" w:hAnsi="Arial"/>
                <w:bCs/>
                <w:iCs/>
              </w:rPr>
              <w:t xml:space="preserve"> accompanying</w:t>
            </w:r>
            <w:r w:rsidR="003948DC" w:rsidRPr="006B7572">
              <w:rPr>
                <w:rFonts w:ascii="Arial" w:hAnsi="Arial"/>
                <w:b/>
                <w:bCs/>
                <w:i/>
                <w:iCs/>
              </w:rPr>
              <w:t xml:space="preserve">Funding Request </w:t>
            </w:r>
            <w:r w:rsidR="002C5DFD" w:rsidRPr="006B7572">
              <w:rPr>
                <w:rFonts w:ascii="Arial" w:hAnsi="Arial"/>
                <w:b/>
                <w:bCs/>
                <w:i/>
                <w:iCs/>
              </w:rPr>
              <w:t>Instructions</w:t>
            </w:r>
            <w:r w:rsidR="003948DC" w:rsidRPr="006B7572">
              <w:rPr>
                <w:rFonts w:ascii="Arial" w:hAnsi="Arial"/>
                <w:b/>
                <w:bCs/>
                <w:i/>
                <w:iCs/>
              </w:rPr>
              <w:t>:</w:t>
            </w:r>
            <w:r w:rsidR="002C5DFD" w:rsidRPr="006B7572">
              <w:rPr>
                <w:rFonts w:ascii="Arial" w:hAnsi="Arial"/>
                <w:b/>
                <w:bCs/>
                <w:i/>
                <w:iCs/>
              </w:rPr>
              <w:t xml:space="preserve"> Full Review</w:t>
            </w:r>
            <w:r w:rsidR="00AA2A8D" w:rsidRPr="006B7572">
              <w:rPr>
                <w:rFonts w:ascii="Arial" w:hAnsi="Arial"/>
                <w:bCs/>
                <w:i/>
                <w:iCs/>
              </w:rPr>
              <w:t>;</w:t>
            </w:r>
          </w:p>
          <w:p w:rsidR="006C093E" w:rsidRPr="006B7572" w:rsidRDefault="00391109" w:rsidP="007205D8">
            <w:pPr>
              <w:pStyle w:val="ListParagraph"/>
              <w:numPr>
                <w:ilvl w:val="0"/>
                <w:numId w:val="3"/>
              </w:numPr>
              <w:jc w:val="both"/>
              <w:rPr>
                <w:rFonts w:ascii="Arial" w:hAnsi="Arial"/>
                <w:bCs/>
                <w:iCs/>
              </w:rPr>
            </w:pPr>
            <w:r w:rsidRPr="006B7572">
              <w:rPr>
                <w:rFonts w:ascii="Arial" w:hAnsi="Arial"/>
                <w:bCs/>
                <w:iCs/>
              </w:rPr>
              <w:t xml:space="preserve">Refer to the </w:t>
            </w:r>
            <w:r w:rsidRPr="00005886">
              <w:rPr>
                <w:rFonts w:ascii="Arial" w:hAnsi="Arial"/>
                <w:bCs/>
                <w:iCs/>
              </w:rPr>
              <w:t>Information Note</w:t>
            </w:r>
            <w:r w:rsidRPr="006B7572">
              <w:rPr>
                <w:rFonts w:ascii="Arial" w:hAnsi="Arial"/>
                <w:bCs/>
                <w:iCs/>
              </w:rPr>
              <w:t xml:space="preserve"> for each component as relevant to the funding request, and </w:t>
            </w:r>
            <w:r w:rsidR="003F012C" w:rsidRPr="006B7572">
              <w:rPr>
                <w:rFonts w:ascii="Arial" w:hAnsi="Arial"/>
                <w:bCs/>
                <w:iCs/>
              </w:rPr>
              <w:t>other guidance available</w:t>
            </w:r>
            <w:r w:rsidR="00005886">
              <w:rPr>
                <w:rFonts w:ascii="Arial" w:hAnsi="Arial"/>
                <w:bCs/>
                <w:iCs/>
              </w:rPr>
              <w:t xml:space="preserve">, found on the </w:t>
            </w:r>
            <w:hyperlink r:id="rId13" w:history="1">
              <w:r w:rsidR="00005886" w:rsidRPr="00005886">
                <w:rPr>
                  <w:rStyle w:val="Hyperlink"/>
                  <w:rFonts w:ascii="Arial" w:hAnsi="Arial" w:cs="Arial"/>
                  <w:bCs/>
                  <w:iCs/>
                </w:rPr>
                <w:t>Global Fund website</w:t>
              </w:r>
            </w:hyperlink>
            <w:r w:rsidR="00005886">
              <w:rPr>
                <w:rFonts w:ascii="Arial" w:hAnsi="Arial"/>
                <w:bCs/>
                <w:iCs/>
              </w:rPr>
              <w:t>.</w:t>
            </w:r>
          </w:p>
          <w:p w:rsidR="006C093E" w:rsidRPr="006B7572" w:rsidRDefault="006C093E" w:rsidP="007205D8">
            <w:pPr>
              <w:pStyle w:val="ListParagraph"/>
              <w:numPr>
                <w:ilvl w:val="0"/>
                <w:numId w:val="3"/>
              </w:numPr>
              <w:jc w:val="both"/>
              <w:rPr>
                <w:rFonts w:ascii="Arial" w:hAnsi="Arial"/>
                <w:bCs/>
                <w:iCs/>
              </w:rPr>
            </w:pPr>
            <w:r w:rsidRPr="006B7572">
              <w:rPr>
                <w:rFonts w:ascii="Arial" w:hAnsi="Arial"/>
              </w:rPr>
              <w:t>Ensure that all mandatory attachments have been completed and attached</w:t>
            </w:r>
            <w:r w:rsidR="00F57EBD" w:rsidRPr="006B7572">
              <w:rPr>
                <w:rFonts w:ascii="Arial" w:hAnsi="Arial"/>
              </w:rPr>
              <w:t>. To assist with this, an application checklist is provided in the</w:t>
            </w:r>
            <w:r w:rsidR="00005886">
              <w:rPr>
                <w:rFonts w:ascii="Arial" w:hAnsi="Arial"/>
              </w:rPr>
              <w:t xml:space="preserve"> Annex of the</w:t>
            </w:r>
            <w:r w:rsidR="00F57EBD" w:rsidRPr="006B7572">
              <w:rPr>
                <w:rFonts w:ascii="Arial" w:hAnsi="Arial"/>
                <w:i/>
              </w:rPr>
              <w:t>Instructions</w:t>
            </w:r>
            <w:r w:rsidR="00AA2A8D" w:rsidRPr="006B7572">
              <w:rPr>
                <w:rFonts w:ascii="Arial" w:hAnsi="Arial"/>
              </w:rPr>
              <w:t>;</w:t>
            </w:r>
          </w:p>
          <w:p w:rsidR="003F012C" w:rsidRPr="006B7572" w:rsidRDefault="003F012C" w:rsidP="007205D8">
            <w:pPr>
              <w:pStyle w:val="ListParagraph"/>
              <w:numPr>
                <w:ilvl w:val="0"/>
                <w:numId w:val="3"/>
              </w:numPr>
              <w:jc w:val="both"/>
              <w:rPr>
                <w:rFonts w:ascii="Arial" w:hAnsi="Arial"/>
                <w:bCs/>
                <w:iCs/>
              </w:rPr>
            </w:pPr>
            <w:r w:rsidRPr="006B7572">
              <w:rPr>
                <w:rFonts w:ascii="Arial" w:hAnsi="Arial"/>
                <w:bCs/>
                <w:iCs/>
              </w:rPr>
              <w:t>Ensure consistency across documentation</w:t>
            </w:r>
            <w:r w:rsidR="00AA2A8D" w:rsidRPr="006B7572">
              <w:rPr>
                <w:rFonts w:ascii="Arial" w:hAnsi="Arial"/>
                <w:bCs/>
                <w:iCs/>
              </w:rPr>
              <w:t>.</w:t>
            </w:r>
          </w:p>
          <w:p w:rsidR="004759B7" w:rsidRPr="006B7572" w:rsidRDefault="004759B7" w:rsidP="00FD5719">
            <w:pPr>
              <w:jc w:val="both"/>
              <w:rPr>
                <w:rFonts w:ascii="Arial" w:hAnsi="Arial"/>
                <w:b/>
              </w:rPr>
            </w:pPr>
          </w:p>
          <w:p w:rsidR="00CB18B1" w:rsidRPr="006B7572" w:rsidRDefault="00CB18B1" w:rsidP="00FD5719">
            <w:pPr>
              <w:jc w:val="both"/>
              <w:rPr>
                <w:rFonts w:ascii="Arial" w:hAnsi="Arial"/>
                <w:b/>
              </w:rPr>
            </w:pPr>
            <w:r w:rsidRPr="006B7572">
              <w:rPr>
                <w:rFonts w:ascii="Arial" w:hAnsi="Arial"/>
                <w:b/>
              </w:rPr>
              <w:t>Appli</w:t>
            </w:r>
            <w:r w:rsidR="003F012C" w:rsidRPr="006B7572">
              <w:rPr>
                <w:rFonts w:ascii="Arial" w:hAnsi="Arial"/>
                <w:b/>
              </w:rPr>
              <w:t xml:space="preserve">cants are encouraged to submit </w:t>
            </w:r>
            <w:r w:rsidRPr="006B7572">
              <w:rPr>
                <w:rFonts w:ascii="Arial" w:hAnsi="Arial"/>
                <w:b/>
              </w:rPr>
              <w:t xml:space="preserve">a </w:t>
            </w:r>
            <w:r w:rsidR="00996FDF" w:rsidRPr="006B7572">
              <w:rPr>
                <w:rFonts w:ascii="Arial" w:hAnsi="Arial"/>
                <w:b/>
              </w:rPr>
              <w:t>joint</w:t>
            </w:r>
            <w:r w:rsidRPr="006B7572">
              <w:rPr>
                <w:rFonts w:ascii="Arial" w:hAnsi="Arial"/>
                <w:b/>
              </w:rPr>
              <w:t xml:space="preserve"> funding request </w:t>
            </w:r>
            <w:r w:rsidRPr="006B7572">
              <w:rPr>
                <w:rFonts w:ascii="Arial" w:hAnsi="Arial"/>
              </w:rPr>
              <w:t xml:space="preserve">for eligible disease components and resilient and sustainable systems for health (RSSH). </w:t>
            </w:r>
          </w:p>
          <w:p w:rsidR="006C093E" w:rsidRPr="006B7572" w:rsidRDefault="00CB18B1" w:rsidP="006C093E">
            <w:pPr>
              <w:autoSpaceDE w:val="0"/>
              <w:autoSpaceDN w:val="0"/>
              <w:adjustRightInd w:val="0"/>
              <w:spacing w:before="120" w:after="120"/>
              <w:rPr>
                <w:rFonts w:ascii="Arial" w:hAnsi="Arial"/>
                <w:b/>
              </w:rPr>
            </w:pPr>
            <w:r w:rsidRPr="006B7572">
              <w:rPr>
                <w:rFonts w:ascii="Arial" w:hAnsi="Arial"/>
                <w:b/>
              </w:rPr>
              <w:t>Joint TB/HIV submissions are compulsory for a selected number of countries with highest rates of co-infection.</w:t>
            </w:r>
            <w:r w:rsidR="00485F5B">
              <w:rPr>
                <w:rFonts w:ascii="Arial" w:hAnsi="Arial"/>
              </w:rPr>
              <w:t xml:space="preserve"> See the related </w:t>
            </w:r>
            <w:hyperlink r:id="rId14" w:anchor="coreinformationnotes" w:history="1">
              <w:r w:rsidR="00485F5B" w:rsidRPr="00485F5B">
                <w:rPr>
                  <w:rStyle w:val="Hyperlink"/>
                  <w:rFonts w:ascii="Arial" w:hAnsi="Arial" w:cs="Arial"/>
                </w:rPr>
                <w:t>guidance</w:t>
              </w:r>
            </w:hyperlink>
            <w:r w:rsidRPr="006B7572">
              <w:rPr>
                <w:rFonts w:ascii="Arial" w:hAnsi="Arial"/>
              </w:rPr>
              <w:t>for more information.</w:t>
            </w:r>
          </w:p>
        </w:tc>
      </w:tr>
    </w:tbl>
    <w:p w:rsidR="00A02D0B" w:rsidRPr="006B7572" w:rsidRDefault="00A02D0B">
      <w:pPr>
        <w:rPr>
          <w:rFonts w:ascii="Arial" w:hAnsi="Arial" w:cs="Arial"/>
          <w:sz w:val="20"/>
          <w:szCs w:val="20"/>
        </w:rPr>
      </w:pPr>
    </w:p>
    <w:p w:rsidR="00B06168" w:rsidRPr="006B7572" w:rsidRDefault="00B06168">
      <w:pPr>
        <w:rPr>
          <w:rFonts w:ascii="Arial" w:hAnsi="Arial" w:cs="Arial"/>
          <w:b/>
          <w:sz w:val="20"/>
          <w:szCs w:val="20"/>
        </w:rPr>
      </w:pPr>
      <w:r w:rsidRPr="006B7572">
        <w:rPr>
          <w:rFonts w:ascii="Arial" w:hAnsi="Arial" w:cs="Arial"/>
          <w:b/>
          <w:sz w:val="20"/>
          <w:szCs w:val="20"/>
        </w:rPr>
        <w:t>This funding request includes</w:t>
      </w:r>
      <w:r w:rsidR="00AB3764" w:rsidRPr="006B7572">
        <w:rPr>
          <w:rFonts w:ascii="Arial" w:hAnsi="Arial" w:cs="Arial"/>
          <w:b/>
          <w:sz w:val="20"/>
          <w:szCs w:val="20"/>
        </w:rPr>
        <w:t xml:space="preserve"> the following sections</w:t>
      </w:r>
      <w:r w:rsidRPr="006B7572">
        <w:rPr>
          <w:rFonts w:ascii="Arial" w:hAnsi="Arial" w:cs="Arial"/>
          <w:b/>
          <w:sz w:val="20"/>
          <w:szCs w:val="20"/>
        </w:rPr>
        <w:t xml:space="preserve">: </w:t>
      </w:r>
    </w:p>
    <w:p w:rsidR="00322634" w:rsidRPr="006B7572" w:rsidRDefault="00322634" w:rsidP="00B06168">
      <w:pPr>
        <w:spacing w:after="0" w:line="240" w:lineRule="auto"/>
        <w:ind w:left="567"/>
        <w:rPr>
          <w:rFonts w:ascii="Arial" w:eastAsia="Calibri" w:hAnsi="Arial" w:cs="Arial"/>
          <w:color w:val="000000" w:themeColor="text1"/>
          <w:sz w:val="20"/>
          <w:szCs w:val="20"/>
          <w:lang w:val="en-US"/>
        </w:rPr>
      </w:pPr>
      <w:r w:rsidRPr="006B7572">
        <w:rPr>
          <w:rFonts w:ascii="Arial" w:eastAsia="Calibri" w:hAnsi="Arial" w:cs="Arial"/>
          <w:b/>
          <w:color w:val="000000" w:themeColor="text1"/>
          <w:sz w:val="20"/>
          <w:szCs w:val="20"/>
          <w:lang w:val="en-US"/>
        </w:rPr>
        <w:t>Section 1</w:t>
      </w:r>
      <w:r w:rsidRPr="006B7572">
        <w:rPr>
          <w:rFonts w:ascii="Arial" w:eastAsia="Calibri" w:hAnsi="Arial" w:cs="Arial"/>
          <w:color w:val="000000" w:themeColor="text1"/>
          <w:sz w:val="20"/>
          <w:szCs w:val="20"/>
          <w:lang w:val="en-US"/>
        </w:rPr>
        <w:t>: Context related to the funding request</w:t>
      </w:r>
    </w:p>
    <w:p w:rsidR="00322634" w:rsidRPr="006B7572" w:rsidRDefault="00322634" w:rsidP="00B06168">
      <w:pPr>
        <w:spacing w:after="0" w:line="240" w:lineRule="auto"/>
        <w:ind w:left="567"/>
        <w:rPr>
          <w:rFonts w:ascii="Arial" w:eastAsia="Calibri" w:hAnsi="Arial" w:cs="Arial"/>
          <w:color w:val="000000" w:themeColor="text1"/>
          <w:sz w:val="20"/>
          <w:szCs w:val="20"/>
          <w:lang w:val="en-US"/>
        </w:rPr>
      </w:pPr>
      <w:r w:rsidRPr="006B7572">
        <w:rPr>
          <w:rFonts w:ascii="Arial" w:eastAsia="Calibri" w:hAnsi="Arial" w:cs="Arial"/>
          <w:b/>
          <w:color w:val="000000" w:themeColor="text1"/>
          <w:sz w:val="20"/>
          <w:szCs w:val="20"/>
          <w:lang w:val="en-US"/>
        </w:rPr>
        <w:t>Section 2</w:t>
      </w:r>
      <w:r w:rsidRPr="006B7572">
        <w:rPr>
          <w:rFonts w:ascii="Arial" w:eastAsia="Calibri" w:hAnsi="Arial" w:cs="Arial"/>
          <w:color w:val="000000" w:themeColor="text1"/>
          <w:sz w:val="20"/>
          <w:szCs w:val="20"/>
          <w:lang w:val="en-US"/>
        </w:rPr>
        <w:t>: Program elements proposed for Global Fund support, including rationale</w:t>
      </w:r>
    </w:p>
    <w:p w:rsidR="00322634" w:rsidRPr="006B7572" w:rsidRDefault="00322634" w:rsidP="00B06168">
      <w:pPr>
        <w:spacing w:after="0" w:line="240" w:lineRule="auto"/>
        <w:ind w:left="567"/>
        <w:rPr>
          <w:rFonts w:ascii="Arial" w:eastAsia="Calibri" w:hAnsi="Arial" w:cs="Arial"/>
          <w:color w:val="000000" w:themeColor="text1"/>
          <w:sz w:val="20"/>
          <w:szCs w:val="20"/>
          <w:lang w:val="en-US"/>
        </w:rPr>
      </w:pPr>
      <w:r w:rsidRPr="006B7572">
        <w:rPr>
          <w:rFonts w:ascii="Arial" w:eastAsia="Calibri" w:hAnsi="Arial" w:cs="Arial"/>
          <w:b/>
          <w:color w:val="000000" w:themeColor="text1"/>
          <w:sz w:val="20"/>
          <w:szCs w:val="20"/>
          <w:lang w:val="en-US"/>
        </w:rPr>
        <w:t>Section 3</w:t>
      </w:r>
      <w:r w:rsidRPr="006B7572">
        <w:rPr>
          <w:rFonts w:ascii="Arial" w:eastAsia="Calibri" w:hAnsi="Arial" w:cs="Arial"/>
          <w:color w:val="000000" w:themeColor="text1"/>
          <w:sz w:val="20"/>
          <w:szCs w:val="20"/>
          <w:lang w:val="en-US"/>
        </w:rPr>
        <w:t xml:space="preserve">: </w:t>
      </w:r>
      <w:r w:rsidR="003F012C" w:rsidRPr="006B7572">
        <w:rPr>
          <w:rFonts w:ascii="Arial" w:eastAsia="Calibri" w:hAnsi="Arial" w:cs="Arial"/>
          <w:color w:val="000000" w:themeColor="text1"/>
          <w:sz w:val="20"/>
          <w:szCs w:val="20"/>
          <w:lang w:val="en-US"/>
        </w:rPr>
        <w:t>P</w:t>
      </w:r>
      <w:r w:rsidRPr="006B7572">
        <w:rPr>
          <w:rFonts w:ascii="Arial" w:eastAsia="Calibri" w:hAnsi="Arial" w:cs="Arial"/>
          <w:color w:val="000000" w:themeColor="text1"/>
          <w:sz w:val="20"/>
          <w:szCs w:val="20"/>
          <w:lang w:val="en-US"/>
        </w:rPr>
        <w:t xml:space="preserve">lanned implementation arrangements and risk mitigation measures </w:t>
      </w:r>
    </w:p>
    <w:p w:rsidR="00322634" w:rsidRPr="006B7572" w:rsidRDefault="00322634" w:rsidP="00B06168">
      <w:pPr>
        <w:spacing w:after="0" w:line="240" w:lineRule="auto"/>
        <w:ind w:left="567"/>
        <w:rPr>
          <w:rFonts w:ascii="Arial" w:eastAsia="Calibri" w:hAnsi="Arial" w:cs="Arial"/>
          <w:color w:val="000000" w:themeColor="text1"/>
          <w:sz w:val="20"/>
          <w:szCs w:val="20"/>
          <w:lang w:val="en-US"/>
        </w:rPr>
      </w:pPr>
      <w:r w:rsidRPr="006B7572">
        <w:rPr>
          <w:rFonts w:ascii="Arial" w:eastAsia="Calibri" w:hAnsi="Arial" w:cs="Arial"/>
          <w:b/>
          <w:color w:val="000000" w:themeColor="text1"/>
          <w:sz w:val="20"/>
          <w:szCs w:val="20"/>
          <w:lang w:val="en-US"/>
        </w:rPr>
        <w:t>Section 4</w:t>
      </w:r>
      <w:r w:rsidRPr="006B7572">
        <w:rPr>
          <w:rFonts w:ascii="Arial" w:eastAsia="Calibri" w:hAnsi="Arial" w:cs="Arial"/>
          <w:color w:val="000000" w:themeColor="text1"/>
          <w:sz w:val="20"/>
          <w:szCs w:val="20"/>
          <w:lang w:val="en-US"/>
        </w:rPr>
        <w:t>: Funding landscape, co-financing and sustainability</w:t>
      </w:r>
    </w:p>
    <w:p w:rsidR="00FE411C" w:rsidRPr="00E238EA" w:rsidRDefault="00B06168" w:rsidP="00E238EA">
      <w:pPr>
        <w:spacing w:after="0" w:line="240" w:lineRule="auto"/>
        <w:ind w:left="1701" w:hanging="1134"/>
        <w:rPr>
          <w:rFonts w:ascii="Arial" w:eastAsia="Calibri" w:hAnsi="Arial" w:cs="Arial"/>
          <w:color w:val="000000" w:themeColor="text1"/>
          <w:sz w:val="20"/>
          <w:szCs w:val="20"/>
          <w:lang w:val="en-US"/>
        </w:rPr>
      </w:pPr>
      <w:r w:rsidRPr="006B7572">
        <w:rPr>
          <w:rFonts w:ascii="Arial" w:eastAsia="Calibri" w:hAnsi="Arial" w:cs="Arial"/>
          <w:b/>
          <w:color w:val="000000" w:themeColor="text1"/>
          <w:sz w:val="20"/>
          <w:szCs w:val="20"/>
          <w:lang w:val="en-US"/>
        </w:rPr>
        <w:t xml:space="preserve">Section </w:t>
      </w:r>
      <w:r w:rsidR="00322634" w:rsidRPr="006B7572">
        <w:rPr>
          <w:rFonts w:ascii="Arial" w:eastAsia="Calibri" w:hAnsi="Arial" w:cs="Arial"/>
          <w:b/>
          <w:color w:val="000000" w:themeColor="text1"/>
          <w:sz w:val="20"/>
          <w:szCs w:val="20"/>
          <w:lang w:val="en-US"/>
        </w:rPr>
        <w:t>5</w:t>
      </w:r>
      <w:r w:rsidR="00322634" w:rsidRPr="006B7572">
        <w:rPr>
          <w:rFonts w:ascii="Arial" w:eastAsia="Calibri" w:hAnsi="Arial" w:cs="Arial"/>
          <w:color w:val="000000" w:themeColor="text1"/>
          <w:sz w:val="20"/>
          <w:szCs w:val="20"/>
          <w:lang w:val="en-US"/>
        </w:rPr>
        <w:t xml:space="preserve">: Prioritized </w:t>
      </w:r>
      <w:r w:rsidR="008C6C43" w:rsidRPr="006B7572">
        <w:rPr>
          <w:rFonts w:ascii="Arial" w:eastAsia="Calibri" w:hAnsi="Arial" w:cs="Arial"/>
          <w:color w:val="000000" w:themeColor="text1"/>
          <w:sz w:val="20"/>
          <w:szCs w:val="20"/>
          <w:lang w:val="en-US"/>
        </w:rPr>
        <w:t>a</w:t>
      </w:r>
      <w:r w:rsidR="00322634" w:rsidRPr="006B7572">
        <w:rPr>
          <w:rFonts w:ascii="Arial" w:eastAsia="Calibri" w:hAnsi="Arial" w:cs="Arial"/>
          <w:color w:val="000000" w:themeColor="text1"/>
          <w:sz w:val="20"/>
          <w:szCs w:val="20"/>
          <w:lang w:val="en-US"/>
        </w:rPr>
        <w:t xml:space="preserve">bove </w:t>
      </w:r>
      <w:r w:rsidR="008C6C43" w:rsidRPr="006B7572">
        <w:rPr>
          <w:rFonts w:ascii="Arial" w:eastAsia="Calibri" w:hAnsi="Arial" w:cs="Arial"/>
          <w:color w:val="000000" w:themeColor="text1"/>
          <w:sz w:val="20"/>
          <w:szCs w:val="20"/>
          <w:lang w:val="en-US"/>
        </w:rPr>
        <w:t>a</w:t>
      </w:r>
      <w:r w:rsidR="00322634" w:rsidRPr="006B7572">
        <w:rPr>
          <w:rFonts w:ascii="Arial" w:eastAsia="Calibri" w:hAnsi="Arial" w:cs="Arial"/>
          <w:color w:val="000000" w:themeColor="text1"/>
          <w:sz w:val="20"/>
          <w:szCs w:val="20"/>
          <w:lang w:val="en-US"/>
        </w:rPr>
        <w:t xml:space="preserve">llocation </w:t>
      </w:r>
      <w:r w:rsidR="008C6C43" w:rsidRPr="006B7572">
        <w:rPr>
          <w:rFonts w:ascii="Arial" w:eastAsia="Calibri" w:hAnsi="Arial" w:cs="Arial"/>
          <w:color w:val="000000" w:themeColor="text1"/>
          <w:sz w:val="20"/>
          <w:szCs w:val="20"/>
          <w:lang w:val="en-US"/>
        </w:rPr>
        <w:t>r</w:t>
      </w:r>
      <w:r w:rsidR="00AB3764" w:rsidRPr="006B7572">
        <w:rPr>
          <w:rFonts w:ascii="Arial" w:eastAsia="Calibri" w:hAnsi="Arial" w:cs="Arial"/>
          <w:color w:val="000000" w:themeColor="text1"/>
          <w:sz w:val="20"/>
          <w:szCs w:val="20"/>
          <w:lang w:val="en-US"/>
        </w:rPr>
        <w:t>equest</w:t>
      </w:r>
    </w:p>
    <w:tbl>
      <w:tblPr>
        <w:tblW w:w="910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9101"/>
      </w:tblGrid>
      <w:tr w:rsidR="00042DCA" w:rsidRPr="006B7572" w:rsidTr="00B555E1">
        <w:trPr>
          <w:trHeight w:val="332"/>
          <w:jc w:val="center"/>
        </w:trPr>
        <w:tc>
          <w:tcPr>
            <w:tcW w:w="9101" w:type="dxa"/>
            <w:shd w:val="clear" w:color="auto" w:fill="1F497D"/>
          </w:tcPr>
          <w:p w:rsidR="00042DCA" w:rsidRPr="006B7572" w:rsidRDefault="00CB18B1" w:rsidP="003F4392">
            <w:pPr>
              <w:spacing w:before="120" w:after="120" w:line="240" w:lineRule="auto"/>
              <w:jc w:val="both"/>
              <w:rPr>
                <w:rFonts w:ascii="Arial" w:hAnsi="Arial" w:cs="Arial"/>
                <w:b/>
                <w:bCs/>
                <w:sz w:val="20"/>
                <w:szCs w:val="20"/>
              </w:rPr>
            </w:pPr>
            <w:r w:rsidRPr="006B7572">
              <w:rPr>
                <w:rFonts w:ascii="Arial" w:hAnsi="Arial" w:cs="Arial"/>
                <w:sz w:val="20"/>
                <w:szCs w:val="20"/>
              </w:rPr>
              <w:lastRenderedPageBreak/>
              <w:br w:type="page"/>
            </w:r>
            <w:r w:rsidR="00042DCA" w:rsidRPr="00B555E1">
              <w:rPr>
                <w:rFonts w:ascii="Arial" w:hAnsi="Arial" w:cs="Arial"/>
                <w:b/>
                <w:bCs/>
                <w:color w:val="FFFFFF" w:themeColor="background1"/>
                <w:sz w:val="20"/>
                <w:szCs w:val="20"/>
                <w:shd w:val="clear" w:color="auto" w:fill="1F497D"/>
              </w:rPr>
              <w:t>SECTION 1: CONTEXT</w:t>
            </w:r>
          </w:p>
        </w:tc>
      </w:tr>
      <w:tr w:rsidR="00042DCA" w:rsidRPr="006B7572" w:rsidTr="00B555E1">
        <w:trPr>
          <w:trHeight w:val="332"/>
          <w:jc w:val="center"/>
        </w:trPr>
        <w:tc>
          <w:tcPr>
            <w:tcW w:w="9101" w:type="dxa"/>
            <w:shd w:val="clear" w:color="auto" w:fill="F2F2F2"/>
          </w:tcPr>
          <w:p w:rsidR="00042DCA" w:rsidRPr="006B7572" w:rsidRDefault="001E247E" w:rsidP="00027F87">
            <w:pPr>
              <w:keepNext/>
              <w:keepLines/>
              <w:spacing w:before="120" w:after="120" w:line="240" w:lineRule="auto"/>
              <w:jc w:val="both"/>
              <w:rPr>
                <w:rFonts w:ascii="Arial" w:hAnsi="Arial" w:cs="Arial"/>
                <w:b/>
                <w:bCs/>
                <w:iCs/>
                <w:sz w:val="20"/>
                <w:szCs w:val="20"/>
              </w:rPr>
            </w:pPr>
            <w:r w:rsidRPr="006B7572">
              <w:rPr>
                <w:rFonts w:ascii="Arial" w:hAnsi="Arial" w:cs="Arial"/>
                <w:bCs/>
                <w:iCs/>
                <w:sz w:val="20"/>
                <w:szCs w:val="20"/>
              </w:rPr>
              <w:t>This section shouldcapture in a concise way relevant information on the country context.</w:t>
            </w:r>
            <w:r w:rsidR="00027F87" w:rsidRPr="006B7572">
              <w:rPr>
                <w:rFonts w:ascii="Arial" w:eastAsia="Calibri" w:hAnsi="Arial" w:cs="Arial"/>
                <w:bCs/>
                <w:iCs/>
                <w:sz w:val="20"/>
                <w:szCs w:val="20"/>
                <w:lang w:val="en-US"/>
              </w:rPr>
              <w:t>A</w:t>
            </w:r>
            <w:r w:rsidR="00340B08" w:rsidRPr="006B7572">
              <w:rPr>
                <w:rFonts w:ascii="Arial" w:eastAsia="Calibri" w:hAnsi="Arial" w:cs="Arial"/>
                <w:bCs/>
                <w:iCs/>
                <w:sz w:val="20"/>
                <w:szCs w:val="20"/>
                <w:lang w:val="en-US"/>
              </w:rPr>
              <w:t xml:space="preserve">ttach and refer to key contextual documentation </w:t>
            </w:r>
            <w:r w:rsidR="00CB18B1" w:rsidRPr="006B7572">
              <w:rPr>
                <w:rFonts w:ascii="Arial" w:hAnsi="Arial" w:cs="Arial"/>
                <w:bCs/>
                <w:iCs/>
                <w:sz w:val="20"/>
                <w:szCs w:val="20"/>
              </w:rPr>
              <w:t xml:space="preserve">justifying the choice of </w:t>
            </w:r>
            <w:r w:rsidR="00042DCA" w:rsidRPr="006B7572">
              <w:rPr>
                <w:rFonts w:ascii="Arial" w:hAnsi="Arial" w:cs="Arial"/>
                <w:bCs/>
                <w:iCs/>
                <w:sz w:val="20"/>
                <w:szCs w:val="20"/>
              </w:rPr>
              <w:t xml:space="preserve">interventions </w:t>
            </w:r>
            <w:r w:rsidR="00E12AC8" w:rsidRPr="006B7572">
              <w:rPr>
                <w:rFonts w:ascii="Arial" w:hAnsi="Arial" w:cs="Arial"/>
                <w:bCs/>
                <w:iCs/>
                <w:sz w:val="20"/>
                <w:szCs w:val="20"/>
              </w:rPr>
              <w:t xml:space="preserve">proposed. </w:t>
            </w:r>
            <w:r w:rsidR="001C281C" w:rsidRPr="006B7572">
              <w:rPr>
                <w:rFonts w:ascii="Arial" w:hAnsi="Arial" w:cs="Arial"/>
                <w:bCs/>
                <w:iCs/>
                <w:sz w:val="20"/>
                <w:szCs w:val="20"/>
              </w:rPr>
              <w:t xml:space="preserve">To respond, </w:t>
            </w:r>
            <w:r w:rsidR="009F54F1" w:rsidRPr="006B7572">
              <w:rPr>
                <w:rFonts w:ascii="Arial" w:hAnsi="Arial" w:cs="Arial"/>
                <w:bCs/>
                <w:iCs/>
                <w:sz w:val="20"/>
                <w:szCs w:val="20"/>
              </w:rPr>
              <w:t xml:space="preserve">refer </w:t>
            </w:r>
            <w:r w:rsidR="00E12AC8" w:rsidRPr="006B7572">
              <w:rPr>
                <w:rFonts w:ascii="Arial" w:eastAsia="Calibri" w:hAnsi="Arial" w:cs="Arial"/>
                <w:sz w:val="20"/>
                <w:szCs w:val="20"/>
                <w:lang w:val="en-US"/>
              </w:rPr>
              <w:t>to</w:t>
            </w:r>
            <w:r w:rsidR="006E048B" w:rsidRPr="006B7572">
              <w:rPr>
                <w:rFonts w:ascii="Arial" w:eastAsia="Calibri" w:hAnsi="Arial" w:cs="Arial"/>
                <w:sz w:val="20"/>
                <w:szCs w:val="20"/>
                <w:lang w:val="en-US"/>
              </w:rPr>
              <w:t xml:space="preserve"> additional</w:t>
            </w:r>
            <w:r w:rsidR="00D51B37" w:rsidRPr="006B7572">
              <w:rPr>
                <w:rFonts w:ascii="Arial" w:eastAsia="Calibri" w:hAnsi="Arial" w:cs="Arial"/>
                <w:sz w:val="20"/>
                <w:szCs w:val="20"/>
                <w:lang w:val="en-US"/>
              </w:rPr>
              <w:t xml:space="preserve"> guidance provided in the</w:t>
            </w:r>
            <w:r w:rsidR="001C281C" w:rsidRPr="006B7572">
              <w:rPr>
                <w:rFonts w:ascii="Arial" w:hAnsi="Arial" w:cs="Arial"/>
                <w:bCs/>
                <w:i/>
                <w:iCs/>
                <w:sz w:val="20"/>
                <w:szCs w:val="20"/>
              </w:rPr>
              <w:t>Instructions</w:t>
            </w:r>
            <w:r w:rsidR="00485F5B">
              <w:rPr>
                <w:rFonts w:ascii="Arial" w:eastAsia="Calibri" w:hAnsi="Arial" w:cs="Arial"/>
                <w:sz w:val="20"/>
                <w:szCs w:val="20"/>
                <w:lang w:val="en-US"/>
              </w:rPr>
              <w:t>.</w:t>
            </w:r>
          </w:p>
        </w:tc>
      </w:tr>
    </w:tbl>
    <w:p w:rsidR="00042DCA" w:rsidRPr="006B7572" w:rsidRDefault="00042DCA">
      <w:pPr>
        <w:rPr>
          <w:rFonts w:ascii="Arial" w:hAnsi="Arial" w:cs="Arial"/>
          <w:sz w:val="20"/>
          <w:szCs w:val="20"/>
        </w:rPr>
      </w:pPr>
    </w:p>
    <w:tbl>
      <w:tblPr>
        <w:tblW w:w="910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tblPr>
      <w:tblGrid>
        <w:gridCol w:w="2405"/>
        <w:gridCol w:w="4406"/>
        <w:gridCol w:w="1406"/>
        <w:gridCol w:w="850"/>
        <w:gridCol w:w="34"/>
      </w:tblGrid>
      <w:tr w:rsidR="00042DCA" w:rsidRPr="006B7572" w:rsidTr="00FE411C">
        <w:trPr>
          <w:trHeight w:val="274"/>
          <w:jc w:val="center"/>
        </w:trPr>
        <w:tc>
          <w:tcPr>
            <w:tcW w:w="9101" w:type="dxa"/>
            <w:gridSpan w:val="5"/>
            <w:shd w:val="clear" w:color="auto" w:fill="C6D9F1"/>
          </w:tcPr>
          <w:p w:rsidR="00042DCA" w:rsidRPr="006B7572" w:rsidRDefault="00042DCA" w:rsidP="00042DCA">
            <w:pPr>
              <w:spacing w:before="120" w:after="120" w:line="240" w:lineRule="auto"/>
              <w:jc w:val="both"/>
              <w:rPr>
                <w:rFonts w:ascii="Arial" w:eastAsia="Calibri" w:hAnsi="Arial" w:cs="Arial"/>
                <w:b/>
                <w:sz w:val="20"/>
                <w:szCs w:val="20"/>
                <w:lang w:val="en-US"/>
              </w:rPr>
            </w:pPr>
            <w:r w:rsidRPr="006B7572">
              <w:rPr>
                <w:rFonts w:ascii="Arial" w:eastAsia="Calibri" w:hAnsi="Arial" w:cs="Arial"/>
                <w:b/>
                <w:bCs/>
                <w:sz w:val="20"/>
                <w:szCs w:val="20"/>
                <w:lang w:val="en-US"/>
              </w:rPr>
              <w:t>1.1 Key reference documents on country context</w:t>
            </w:r>
          </w:p>
        </w:tc>
      </w:tr>
      <w:tr w:rsidR="00042DCA" w:rsidRPr="006B7572" w:rsidTr="00401EBB">
        <w:trPr>
          <w:trHeight w:val="1639"/>
          <w:jc w:val="center"/>
        </w:trPr>
        <w:tc>
          <w:tcPr>
            <w:tcW w:w="9101" w:type="dxa"/>
            <w:gridSpan w:val="5"/>
            <w:shd w:val="clear" w:color="auto" w:fill="F2F2F2" w:themeFill="background1" w:themeFillShade="F2"/>
            <w:vAlign w:val="center"/>
          </w:tcPr>
          <w:p w:rsidR="00FE411C" w:rsidRPr="006B7572" w:rsidRDefault="001F0181" w:rsidP="00401EBB">
            <w:pPr>
              <w:spacing w:after="0"/>
              <w:rPr>
                <w:rFonts w:ascii="Arial" w:hAnsi="Arial" w:cs="Arial"/>
                <w:sz w:val="20"/>
                <w:szCs w:val="20"/>
              </w:rPr>
            </w:pPr>
            <w:r w:rsidRPr="006B7572">
              <w:rPr>
                <w:rFonts w:ascii="Arial" w:eastAsia="Calibri" w:hAnsi="Arial" w:cs="Arial"/>
                <w:sz w:val="20"/>
                <w:szCs w:val="20"/>
                <w:lang w:val="en-US"/>
              </w:rPr>
              <w:t>List contextual documentation</w:t>
            </w:r>
            <w:r w:rsidR="00D31FA7" w:rsidRPr="006B7572">
              <w:rPr>
                <w:rFonts w:ascii="Arial" w:eastAsia="Calibri" w:hAnsi="Arial" w:cs="Arial"/>
                <w:sz w:val="20"/>
                <w:szCs w:val="20"/>
                <w:lang w:val="en-US"/>
              </w:rPr>
              <w:t xml:space="preserve"> for key areas</w:t>
            </w:r>
            <w:r w:rsidR="00A47305" w:rsidRPr="006B7572">
              <w:rPr>
                <w:rFonts w:ascii="Arial" w:eastAsia="Calibri" w:hAnsi="Arial" w:cs="Arial"/>
                <w:sz w:val="20"/>
                <w:szCs w:val="20"/>
                <w:lang w:val="en-US"/>
              </w:rPr>
              <w:t xml:space="preserve"> in the table provided below</w:t>
            </w:r>
            <w:r w:rsidRPr="006B7572">
              <w:rPr>
                <w:rFonts w:ascii="Arial" w:eastAsia="Calibri" w:hAnsi="Arial" w:cs="Arial"/>
                <w:sz w:val="20"/>
                <w:szCs w:val="20"/>
                <w:lang w:val="en-US"/>
              </w:rPr>
              <w:t xml:space="preserve">. </w:t>
            </w:r>
            <w:r w:rsidR="00042DCA" w:rsidRPr="006B7572">
              <w:rPr>
                <w:rFonts w:ascii="Arial" w:eastAsia="Calibri" w:hAnsi="Arial" w:cs="Arial"/>
                <w:sz w:val="20"/>
                <w:szCs w:val="20"/>
                <w:lang w:val="en-US"/>
              </w:rPr>
              <w:t>I</w:t>
            </w:r>
            <w:r w:rsidR="00BD0A83" w:rsidRPr="006B7572">
              <w:rPr>
                <w:rFonts w:ascii="Arial" w:eastAsia="Calibri" w:hAnsi="Arial" w:cs="Arial"/>
                <w:sz w:val="20"/>
                <w:szCs w:val="20"/>
                <w:lang w:val="en-US"/>
              </w:rPr>
              <w:t>f</w:t>
            </w:r>
            <w:r w:rsidR="00042DCA" w:rsidRPr="006B7572">
              <w:rPr>
                <w:rFonts w:ascii="Arial" w:eastAsia="Calibri" w:hAnsi="Arial" w:cs="Arial"/>
                <w:sz w:val="20"/>
                <w:szCs w:val="20"/>
                <w:lang w:val="en-US"/>
              </w:rPr>
              <w:t xml:space="preserve"> key information for effective programming is not available, </w:t>
            </w:r>
            <w:r w:rsidR="00191EA3" w:rsidRPr="006B7572">
              <w:rPr>
                <w:rFonts w:ascii="Arial" w:eastAsia="Calibri" w:hAnsi="Arial" w:cs="Arial"/>
                <w:sz w:val="20"/>
                <w:szCs w:val="20"/>
                <w:lang w:val="en-US"/>
              </w:rPr>
              <w:t>specify</w:t>
            </w:r>
            <w:r w:rsidR="00A47305" w:rsidRPr="006B7572">
              <w:rPr>
                <w:rFonts w:ascii="Arial" w:eastAsia="Calibri" w:hAnsi="Arial" w:cs="Arial"/>
                <w:sz w:val="20"/>
                <w:szCs w:val="20"/>
                <w:lang w:val="en-US"/>
              </w:rPr>
              <w:t xml:space="preserve"> this</w:t>
            </w:r>
            <w:r w:rsidR="00042DCA" w:rsidRPr="006B7572">
              <w:rPr>
                <w:rFonts w:ascii="Arial" w:eastAsia="Calibri" w:hAnsi="Arial" w:cs="Arial"/>
                <w:sz w:val="20"/>
                <w:szCs w:val="20"/>
                <w:lang w:val="en-US"/>
              </w:rPr>
              <w:t xml:space="preserve"> in the </w:t>
            </w:r>
            <w:r w:rsidR="00A600FA" w:rsidRPr="006B7572">
              <w:rPr>
                <w:rFonts w:ascii="Arial" w:eastAsia="Calibri" w:hAnsi="Arial" w:cs="Arial"/>
                <w:sz w:val="20"/>
                <w:szCs w:val="20"/>
                <w:lang w:val="en-US"/>
              </w:rPr>
              <w:t>table</w:t>
            </w:r>
            <w:r w:rsidR="00B555E1">
              <w:rPr>
                <w:rFonts w:ascii="Arial" w:eastAsia="Calibri" w:hAnsi="Arial" w:cs="Arial"/>
                <w:sz w:val="20"/>
                <w:szCs w:val="20"/>
                <w:lang w:val="en-US"/>
              </w:rPr>
              <w:t xml:space="preserve"> (“N/A”)</w:t>
            </w:r>
            <w:r w:rsidR="00340B08" w:rsidRPr="006B7572">
              <w:rPr>
                <w:rFonts w:ascii="Arial" w:eastAsia="Calibri" w:hAnsi="Arial" w:cs="Arial"/>
                <w:sz w:val="20"/>
                <w:szCs w:val="20"/>
                <w:lang w:val="en-US"/>
              </w:rPr>
              <w:t xml:space="preserve"> and </w:t>
            </w:r>
            <w:r w:rsidR="00BD0A83" w:rsidRPr="006B7572">
              <w:rPr>
                <w:rFonts w:ascii="Arial" w:eastAsia="Calibri" w:hAnsi="Arial" w:cs="Arial"/>
                <w:sz w:val="20"/>
                <w:szCs w:val="20"/>
                <w:lang w:val="en-US"/>
              </w:rPr>
              <w:t xml:space="preserve">explain </w:t>
            </w:r>
            <w:r w:rsidR="00340B08" w:rsidRPr="006B7572">
              <w:rPr>
                <w:rFonts w:ascii="Arial" w:eastAsia="Calibri" w:hAnsi="Arial" w:cs="Arial"/>
                <w:sz w:val="20"/>
                <w:szCs w:val="20"/>
                <w:lang w:val="en-US"/>
              </w:rPr>
              <w:t>in Section 1.2how this was dealt with withi</w:t>
            </w:r>
            <w:r w:rsidR="00A600FA" w:rsidRPr="006B7572">
              <w:rPr>
                <w:rFonts w:ascii="Arial" w:eastAsia="Calibri" w:hAnsi="Arial" w:cs="Arial"/>
                <w:sz w:val="20"/>
                <w:szCs w:val="20"/>
                <w:lang w:val="en-US"/>
              </w:rPr>
              <w:t>n the context of the request</w:t>
            </w:r>
            <w:r w:rsidR="00BD0A83" w:rsidRPr="006B7572">
              <w:rPr>
                <w:rFonts w:ascii="Arial" w:eastAsia="Calibri" w:hAnsi="Arial" w:cs="Arial"/>
                <w:sz w:val="20"/>
                <w:szCs w:val="20"/>
                <w:lang w:val="en-US"/>
              </w:rPr>
              <w:t xml:space="preserve">,including </w:t>
            </w:r>
            <w:r w:rsidR="00A600FA" w:rsidRPr="006B7572">
              <w:rPr>
                <w:rFonts w:ascii="Arial" w:eastAsia="Calibri" w:hAnsi="Arial" w:cs="Arial"/>
                <w:sz w:val="20"/>
                <w:szCs w:val="20"/>
                <w:lang w:val="en-US"/>
              </w:rPr>
              <w:t>plans</w:t>
            </w:r>
            <w:r w:rsidRPr="006B7572">
              <w:rPr>
                <w:rFonts w:ascii="Arial" w:eastAsia="Calibri" w:hAnsi="Arial" w:cs="Arial"/>
                <w:sz w:val="20"/>
                <w:szCs w:val="20"/>
                <w:lang w:val="en-US"/>
              </w:rPr>
              <w:t>,</w:t>
            </w:r>
            <w:r w:rsidR="00A600FA" w:rsidRPr="006B7572">
              <w:rPr>
                <w:rFonts w:ascii="Arial" w:eastAsia="Calibri" w:hAnsi="Arial" w:cs="Arial"/>
                <w:sz w:val="20"/>
                <w:szCs w:val="20"/>
                <w:lang w:val="en-US"/>
              </w:rPr>
              <w:t xml:space="preserve"> if any</w:t>
            </w:r>
            <w:r w:rsidRPr="006B7572">
              <w:rPr>
                <w:rFonts w:ascii="Arial" w:eastAsia="Calibri" w:hAnsi="Arial" w:cs="Arial"/>
                <w:sz w:val="20"/>
                <w:szCs w:val="20"/>
                <w:lang w:val="en-US"/>
              </w:rPr>
              <w:t>, to address such gaps</w:t>
            </w:r>
            <w:r w:rsidR="00A600FA" w:rsidRPr="006B7572">
              <w:rPr>
                <w:rFonts w:ascii="Arial" w:eastAsia="Calibri" w:hAnsi="Arial" w:cs="Arial"/>
                <w:sz w:val="20"/>
                <w:szCs w:val="20"/>
                <w:lang w:val="en-US"/>
              </w:rPr>
              <w:t>.</w:t>
            </w:r>
          </w:p>
          <w:p w:rsidR="00FE411C" w:rsidRPr="006B7572" w:rsidRDefault="00FE411C" w:rsidP="00401EBB">
            <w:pPr>
              <w:spacing w:after="0"/>
              <w:rPr>
                <w:rFonts w:ascii="Arial" w:hAnsi="Arial" w:cs="Arial"/>
                <w:sz w:val="20"/>
                <w:szCs w:val="20"/>
              </w:rPr>
            </w:pPr>
          </w:p>
          <w:p w:rsidR="00042DCA" w:rsidRPr="002A741F" w:rsidRDefault="00FE411C" w:rsidP="00401EBB">
            <w:pPr>
              <w:spacing w:after="0"/>
              <w:rPr>
                <w:rFonts w:ascii="Arial" w:hAnsi="Arial" w:cs="Arial"/>
                <w:sz w:val="20"/>
                <w:szCs w:val="20"/>
              </w:rPr>
            </w:pPr>
            <w:r w:rsidRPr="006B7572">
              <w:rPr>
                <w:rFonts w:ascii="Arial" w:hAnsi="Arial" w:cs="Arial"/>
                <w:sz w:val="20"/>
                <w:szCs w:val="20"/>
              </w:rPr>
              <w:t>Applicant response in table below</w:t>
            </w:r>
            <w:r w:rsidR="00997C31">
              <w:rPr>
                <w:rFonts w:ascii="Arial" w:hAnsi="Arial" w:cs="Arial"/>
                <w:sz w:val="20"/>
                <w:szCs w:val="20"/>
              </w:rPr>
              <w:t>.</w:t>
            </w:r>
          </w:p>
        </w:tc>
      </w:tr>
      <w:tr w:rsidR="009F54F1" w:rsidRPr="006B7572" w:rsidTr="00FE411C">
        <w:tblPrEx>
          <w:jc w:val="left"/>
        </w:tblPrEx>
        <w:trPr>
          <w:gridAfter w:val="1"/>
          <w:wAfter w:w="34" w:type="dxa"/>
          <w:trHeight w:val="546"/>
        </w:trPr>
        <w:tc>
          <w:tcPr>
            <w:tcW w:w="2405" w:type="dxa"/>
            <w:shd w:val="clear" w:color="auto" w:fill="C6D9F1"/>
            <w:vAlign w:val="center"/>
          </w:tcPr>
          <w:p w:rsidR="009F54F1" w:rsidRPr="006B7572" w:rsidRDefault="009F54F1" w:rsidP="00B50C6D">
            <w:pPr>
              <w:spacing w:after="0" w:line="276" w:lineRule="auto"/>
              <w:rPr>
                <w:rFonts w:ascii="Arial" w:eastAsia="Calibri" w:hAnsi="Arial" w:cs="Arial"/>
                <w:b/>
                <w:sz w:val="20"/>
                <w:szCs w:val="20"/>
                <w:lang w:val="en-US"/>
              </w:rPr>
            </w:pPr>
            <w:r w:rsidRPr="006B7572">
              <w:rPr>
                <w:rFonts w:ascii="Arial" w:eastAsia="Calibri" w:hAnsi="Arial" w:cs="Arial"/>
                <w:b/>
                <w:sz w:val="20"/>
                <w:szCs w:val="20"/>
                <w:lang w:val="en-US"/>
              </w:rPr>
              <w:t>Key area</w:t>
            </w:r>
          </w:p>
        </w:tc>
        <w:tc>
          <w:tcPr>
            <w:tcW w:w="4406" w:type="dxa"/>
            <w:shd w:val="clear" w:color="auto" w:fill="C6D9F1"/>
            <w:vAlign w:val="center"/>
          </w:tcPr>
          <w:p w:rsidR="009F54F1" w:rsidRPr="006B7572" w:rsidRDefault="009F54F1" w:rsidP="00B50C6D">
            <w:pPr>
              <w:spacing w:before="120" w:after="0" w:line="276" w:lineRule="auto"/>
              <w:rPr>
                <w:rFonts w:ascii="Arial" w:eastAsia="Calibri" w:hAnsi="Arial" w:cs="Arial"/>
                <w:b/>
                <w:iCs/>
                <w:sz w:val="20"/>
                <w:szCs w:val="20"/>
                <w:lang w:val="en-US"/>
              </w:rPr>
            </w:pPr>
            <w:r w:rsidRPr="006B7572">
              <w:rPr>
                <w:rFonts w:ascii="Arial" w:eastAsia="Calibri" w:hAnsi="Arial" w:cs="Arial"/>
                <w:b/>
                <w:sz w:val="20"/>
                <w:szCs w:val="20"/>
                <w:lang w:val="en-US"/>
              </w:rPr>
              <w:t>Applicable reference document(s)</w:t>
            </w:r>
          </w:p>
        </w:tc>
        <w:tc>
          <w:tcPr>
            <w:tcW w:w="1406" w:type="dxa"/>
            <w:shd w:val="clear" w:color="auto" w:fill="C6D9F1"/>
            <w:vAlign w:val="center"/>
          </w:tcPr>
          <w:p w:rsidR="009F54F1" w:rsidRPr="006B7572" w:rsidRDefault="009F54F1" w:rsidP="00B50C6D">
            <w:pPr>
              <w:spacing w:before="120" w:after="0" w:line="276" w:lineRule="auto"/>
              <w:rPr>
                <w:rFonts w:ascii="Arial" w:eastAsia="Calibri" w:hAnsi="Arial" w:cs="Arial"/>
                <w:b/>
                <w:iCs/>
                <w:sz w:val="20"/>
                <w:szCs w:val="20"/>
                <w:lang w:val="fr-CH"/>
              </w:rPr>
            </w:pPr>
            <w:r w:rsidRPr="006B7572">
              <w:rPr>
                <w:rFonts w:ascii="Arial" w:eastAsia="Calibri" w:hAnsi="Arial" w:cs="Arial"/>
                <w:b/>
                <w:iCs/>
                <w:sz w:val="20"/>
                <w:szCs w:val="20"/>
                <w:lang w:val="fr-CH"/>
              </w:rPr>
              <w:t>Relevant section(s)</w:t>
            </w:r>
            <w:r w:rsidR="00E73BE1" w:rsidRPr="006B7572">
              <w:rPr>
                <w:rFonts w:ascii="Arial" w:eastAsia="Calibri" w:hAnsi="Arial" w:cs="Arial"/>
                <w:b/>
                <w:iCs/>
                <w:sz w:val="20"/>
                <w:szCs w:val="20"/>
                <w:lang w:val="fr-CH"/>
              </w:rPr>
              <w:t>&amp; pages nb.</w:t>
            </w:r>
          </w:p>
        </w:tc>
        <w:tc>
          <w:tcPr>
            <w:tcW w:w="850" w:type="dxa"/>
            <w:shd w:val="clear" w:color="auto" w:fill="C6D9F1"/>
            <w:vAlign w:val="center"/>
          </w:tcPr>
          <w:p w:rsidR="009F54F1" w:rsidRPr="006B7572" w:rsidRDefault="009F54F1" w:rsidP="00B50C6D">
            <w:pPr>
              <w:spacing w:before="120" w:after="0" w:line="276" w:lineRule="auto"/>
              <w:rPr>
                <w:rFonts w:ascii="Arial" w:eastAsia="Calibri" w:hAnsi="Arial" w:cs="Arial"/>
                <w:b/>
                <w:iCs/>
                <w:sz w:val="20"/>
                <w:szCs w:val="20"/>
                <w:lang w:val="en-US"/>
              </w:rPr>
            </w:pPr>
            <w:r w:rsidRPr="006B7572">
              <w:rPr>
                <w:rFonts w:ascii="Arial" w:eastAsia="Calibri" w:hAnsi="Arial" w:cs="Arial"/>
                <w:b/>
                <w:iCs/>
                <w:sz w:val="20"/>
                <w:szCs w:val="20"/>
                <w:lang w:val="en-US"/>
              </w:rPr>
              <w:t>N/A</w:t>
            </w:r>
          </w:p>
        </w:tc>
      </w:tr>
      <w:tr w:rsidR="00B50C6D" w:rsidRPr="006B7572" w:rsidTr="00FE411C">
        <w:tblPrEx>
          <w:jc w:val="left"/>
        </w:tblPrEx>
        <w:trPr>
          <w:gridAfter w:val="1"/>
          <w:wAfter w:w="34" w:type="dxa"/>
          <w:trHeight w:val="443"/>
        </w:trPr>
        <w:tc>
          <w:tcPr>
            <w:tcW w:w="9067" w:type="dxa"/>
            <w:gridSpan w:val="4"/>
            <w:shd w:val="clear" w:color="auto" w:fill="F2F2F2" w:themeFill="background1" w:themeFillShade="F2"/>
            <w:vAlign w:val="center"/>
          </w:tcPr>
          <w:p w:rsidR="00B50C6D" w:rsidRPr="006B7572" w:rsidRDefault="00B50C6D" w:rsidP="00B50C6D">
            <w:pPr>
              <w:spacing w:before="120" w:after="120" w:line="240" w:lineRule="auto"/>
              <w:rPr>
                <w:rFonts w:ascii="Arial" w:eastAsia="SimSun" w:hAnsi="Arial" w:cs="Arial"/>
                <w:b/>
                <w:color w:val="A6A6A6"/>
                <w:sz w:val="20"/>
                <w:szCs w:val="20"/>
                <w:lang w:val="en-US" w:eastAsia="zh-CN"/>
              </w:rPr>
            </w:pPr>
            <w:r w:rsidRPr="006B7572">
              <w:rPr>
                <w:rFonts w:ascii="Arial" w:eastAsia="Calibri" w:hAnsi="Arial" w:cs="Arial"/>
                <w:b/>
                <w:sz w:val="20"/>
                <w:szCs w:val="20"/>
                <w:lang w:val="en-US"/>
              </w:rPr>
              <w:t>Resilient and Sustainable Systems for Health (RSSH)</w:t>
            </w:r>
          </w:p>
        </w:tc>
      </w:tr>
      <w:tr w:rsidR="009F54F1" w:rsidRPr="006B7572" w:rsidTr="00042885">
        <w:tblPrEx>
          <w:jc w:val="left"/>
        </w:tblPrEx>
        <w:trPr>
          <w:gridAfter w:val="1"/>
          <w:wAfter w:w="34" w:type="dxa"/>
          <w:trHeight w:val="393"/>
        </w:trPr>
        <w:tc>
          <w:tcPr>
            <w:tcW w:w="2405" w:type="dxa"/>
            <w:shd w:val="clear" w:color="auto" w:fill="F2F2F2" w:themeFill="background1" w:themeFillShade="F2"/>
            <w:vAlign w:val="center"/>
          </w:tcPr>
          <w:p w:rsidR="009F54F1" w:rsidRPr="006B7572" w:rsidRDefault="009F54F1" w:rsidP="00B50C6D">
            <w:pPr>
              <w:tabs>
                <w:tab w:val="left" w:pos="360"/>
              </w:tabs>
              <w:spacing w:after="0" w:line="276" w:lineRule="auto"/>
              <w:ind w:right="-54"/>
              <w:contextualSpacing/>
              <w:rPr>
                <w:rFonts w:ascii="Arial" w:eastAsia="Calibri" w:hAnsi="Arial" w:cs="Arial"/>
                <w:bCs/>
                <w:iCs/>
                <w:sz w:val="20"/>
                <w:szCs w:val="20"/>
                <w:lang w:val="en-US"/>
              </w:rPr>
            </w:pPr>
            <w:r w:rsidRPr="006B7572">
              <w:rPr>
                <w:rFonts w:ascii="Arial" w:eastAsia="Calibri" w:hAnsi="Arial" w:cs="Arial"/>
                <w:sz w:val="20"/>
                <w:szCs w:val="20"/>
                <w:lang w:val="en-US"/>
              </w:rPr>
              <w:t>Health system overview</w:t>
            </w:r>
          </w:p>
        </w:tc>
        <w:tc>
          <w:tcPr>
            <w:tcW w:w="4406" w:type="dxa"/>
          </w:tcPr>
          <w:p w:rsidR="00D516AB" w:rsidRDefault="00D516AB" w:rsidP="00804912">
            <w:pPr>
              <w:tabs>
                <w:tab w:val="left" w:pos="338"/>
              </w:tabs>
              <w:spacing w:after="0" w:line="276" w:lineRule="auto"/>
              <w:ind w:right="-54"/>
              <w:contextualSpacing/>
              <w:rPr>
                <w:rFonts w:ascii="Arial" w:eastAsia="Calibri" w:hAnsi="Arial" w:cs="Arial"/>
                <w:bCs/>
                <w:iCs/>
                <w:sz w:val="20"/>
                <w:szCs w:val="20"/>
                <w:highlight w:val="yellow"/>
                <w:lang w:val="en-US"/>
              </w:rPr>
            </w:pPr>
            <w:r w:rsidRPr="00802EDC">
              <w:rPr>
                <w:rFonts w:ascii="Arial" w:eastAsia="Calibri" w:hAnsi="Arial" w:cs="Arial"/>
                <w:bCs/>
                <w:iCs/>
                <w:sz w:val="20"/>
                <w:szCs w:val="20"/>
                <w:lang w:val="en-US"/>
              </w:rPr>
              <w:t>Health Bulletin 201</w:t>
            </w:r>
            <w:r>
              <w:rPr>
                <w:rFonts w:ascii="Arial" w:eastAsia="Calibri" w:hAnsi="Arial" w:cs="Arial"/>
                <w:bCs/>
                <w:iCs/>
                <w:sz w:val="20"/>
                <w:szCs w:val="20"/>
                <w:lang w:val="en-US"/>
              </w:rPr>
              <w:t>6</w:t>
            </w:r>
            <w:r w:rsidRPr="00802EDC">
              <w:rPr>
                <w:rFonts w:ascii="Arial" w:eastAsia="Calibri" w:hAnsi="Arial" w:cs="Arial"/>
                <w:bCs/>
                <w:iCs/>
                <w:sz w:val="20"/>
                <w:szCs w:val="20"/>
                <w:lang w:val="en-US"/>
              </w:rPr>
              <w:t>, Ministry of Health and Family Welfare, Government of the People’s Republic of Bangladesh</w:t>
            </w:r>
            <w:r>
              <w:rPr>
                <w:rFonts w:ascii="Arial" w:eastAsia="Calibri" w:hAnsi="Arial" w:cs="Arial"/>
                <w:bCs/>
                <w:iCs/>
                <w:sz w:val="20"/>
                <w:szCs w:val="20"/>
                <w:lang w:val="en-US"/>
              </w:rPr>
              <w:t>.</w:t>
            </w:r>
          </w:p>
          <w:p w:rsidR="000B6E6D" w:rsidRPr="00C63FDB" w:rsidRDefault="000B6E6D" w:rsidP="00804912">
            <w:pPr>
              <w:tabs>
                <w:tab w:val="left" w:pos="338"/>
              </w:tabs>
              <w:spacing w:after="0" w:line="276" w:lineRule="auto"/>
              <w:ind w:right="-54"/>
              <w:contextualSpacing/>
              <w:rPr>
                <w:rFonts w:ascii="Arial" w:eastAsia="Calibri" w:hAnsi="Arial" w:cs="Arial"/>
                <w:bCs/>
                <w:iCs/>
                <w:sz w:val="20"/>
                <w:szCs w:val="20"/>
                <w:highlight w:val="yellow"/>
                <w:lang w:val="en-US"/>
              </w:rPr>
            </w:pPr>
            <w:r w:rsidRPr="000B6E6D">
              <w:rPr>
                <w:rFonts w:ascii="Arial" w:eastAsia="Calibri" w:hAnsi="Arial" w:cs="Arial"/>
                <w:bCs/>
                <w:iCs/>
                <w:sz w:val="20"/>
                <w:szCs w:val="20"/>
                <w:highlight w:val="yellow"/>
                <w:lang w:val="en-US"/>
              </w:rPr>
              <w:t>Health Care Financing Strategy 2012-2032</w:t>
            </w:r>
            <w:r w:rsidR="00D516AB">
              <w:rPr>
                <w:rFonts w:ascii="Arial" w:eastAsia="Calibri" w:hAnsi="Arial" w:cs="Arial"/>
                <w:bCs/>
                <w:iCs/>
                <w:sz w:val="20"/>
                <w:szCs w:val="20"/>
                <w:highlight w:val="yellow"/>
                <w:lang w:val="en-US"/>
              </w:rPr>
              <w:t>.</w:t>
            </w:r>
          </w:p>
        </w:tc>
        <w:tc>
          <w:tcPr>
            <w:tcW w:w="1406" w:type="dxa"/>
            <w:vAlign w:val="center"/>
          </w:tcPr>
          <w:p w:rsidR="00804912" w:rsidRDefault="00804912" w:rsidP="00B50C6D">
            <w:pPr>
              <w:spacing w:after="0" w:line="276" w:lineRule="auto"/>
              <w:jc w:val="center"/>
              <w:rPr>
                <w:rFonts w:ascii="Arial" w:eastAsia="Calibri" w:hAnsi="Arial" w:cs="Arial"/>
                <w:bCs/>
                <w:iCs/>
                <w:sz w:val="20"/>
                <w:szCs w:val="20"/>
                <w:lang w:val="en-US"/>
              </w:rPr>
            </w:pPr>
          </w:p>
          <w:p w:rsidR="00D516AB" w:rsidRDefault="00D516AB" w:rsidP="00804912">
            <w:pPr>
              <w:spacing w:after="0" w:line="276" w:lineRule="auto"/>
              <w:jc w:val="center"/>
              <w:rPr>
                <w:rFonts w:ascii="Arial" w:eastAsia="Calibri" w:hAnsi="Arial" w:cs="Arial"/>
                <w:bCs/>
                <w:iCs/>
                <w:sz w:val="20"/>
                <w:szCs w:val="20"/>
                <w:lang w:val="en-US"/>
              </w:rPr>
            </w:pPr>
          </w:p>
          <w:p w:rsidR="00D516AB" w:rsidRDefault="00D516AB" w:rsidP="00804912">
            <w:pPr>
              <w:spacing w:after="0" w:line="276" w:lineRule="auto"/>
              <w:jc w:val="center"/>
              <w:rPr>
                <w:rFonts w:ascii="Arial" w:eastAsia="Calibri" w:hAnsi="Arial" w:cs="Arial"/>
                <w:bCs/>
                <w:iCs/>
                <w:sz w:val="20"/>
                <w:szCs w:val="20"/>
                <w:lang w:val="en-US"/>
              </w:rPr>
            </w:pPr>
            <w:r>
              <w:rPr>
                <w:rFonts w:ascii="Arial" w:eastAsia="Calibri" w:hAnsi="Arial" w:cs="Arial"/>
                <w:bCs/>
                <w:iCs/>
                <w:sz w:val="20"/>
                <w:szCs w:val="20"/>
                <w:lang w:val="en-US"/>
              </w:rPr>
              <w:t>Chapter 2</w:t>
            </w:r>
          </w:p>
          <w:p w:rsidR="00804912" w:rsidRPr="006B7572" w:rsidRDefault="00804912" w:rsidP="00804912">
            <w:pPr>
              <w:spacing w:after="0" w:line="276" w:lineRule="auto"/>
              <w:jc w:val="center"/>
              <w:rPr>
                <w:rFonts w:ascii="Arial" w:eastAsia="Calibri" w:hAnsi="Arial" w:cs="Arial"/>
                <w:bCs/>
                <w:iCs/>
                <w:sz w:val="20"/>
                <w:szCs w:val="20"/>
                <w:lang w:val="en-US"/>
              </w:rPr>
            </w:pPr>
            <w:r>
              <w:rPr>
                <w:rFonts w:ascii="Arial" w:eastAsia="Calibri" w:hAnsi="Arial" w:cs="Arial"/>
                <w:bCs/>
                <w:iCs/>
                <w:sz w:val="20"/>
                <w:szCs w:val="20"/>
                <w:lang w:val="en-US"/>
              </w:rPr>
              <w:t>P iv-v (plus)</w:t>
            </w:r>
          </w:p>
        </w:tc>
        <w:tc>
          <w:tcPr>
            <w:tcW w:w="850" w:type="dxa"/>
            <w:vAlign w:val="center"/>
          </w:tcPr>
          <w:p w:rsidR="009F54F1" w:rsidRPr="006B7572" w:rsidRDefault="00817B52" w:rsidP="00B50C6D">
            <w:pPr>
              <w:spacing w:after="0" w:line="240" w:lineRule="auto"/>
              <w:jc w:val="center"/>
              <w:rPr>
                <w:rFonts w:ascii="Arial" w:eastAsia="SimSun" w:hAnsi="Arial" w:cs="Arial"/>
                <w:b/>
                <w:color w:val="A6A6A6"/>
                <w:sz w:val="20"/>
                <w:szCs w:val="20"/>
                <w:lang w:val="en-US" w:eastAsia="zh-CN"/>
              </w:rPr>
            </w:pPr>
            <w:sdt>
              <w:sdtPr>
                <w:rPr>
                  <w:rFonts w:ascii="Arial" w:eastAsia="Calibri" w:hAnsi="Arial" w:cs="Arial"/>
                  <w:bCs/>
                  <w:iCs/>
                  <w:sz w:val="20"/>
                  <w:szCs w:val="20"/>
                  <w:lang w:val="en-US"/>
                </w:rPr>
                <w:id w:val="1463616910"/>
              </w:sdtPr>
              <w:sdtContent>
                <w:r w:rsidR="00972638" w:rsidRPr="006B7572">
                  <w:rPr>
                    <w:rFonts w:ascii="Segoe UI Symbol" w:eastAsia="MS Gothic" w:hAnsi="Segoe UI Symbol" w:cs="Segoe UI Symbol"/>
                    <w:bCs/>
                    <w:iCs/>
                    <w:sz w:val="20"/>
                    <w:szCs w:val="20"/>
                    <w:lang w:val="en-US"/>
                  </w:rPr>
                  <w:t>☐</w:t>
                </w:r>
              </w:sdtContent>
            </w:sdt>
          </w:p>
        </w:tc>
      </w:tr>
      <w:tr w:rsidR="009F54F1" w:rsidRPr="006B7572" w:rsidTr="00042885">
        <w:tblPrEx>
          <w:jc w:val="left"/>
        </w:tblPrEx>
        <w:trPr>
          <w:gridAfter w:val="1"/>
          <w:wAfter w:w="34" w:type="dxa"/>
          <w:trHeight w:val="413"/>
        </w:trPr>
        <w:tc>
          <w:tcPr>
            <w:tcW w:w="2405" w:type="dxa"/>
            <w:shd w:val="clear" w:color="auto" w:fill="F2F2F2" w:themeFill="background1" w:themeFillShade="F2"/>
            <w:vAlign w:val="center"/>
          </w:tcPr>
          <w:p w:rsidR="009F54F1" w:rsidRPr="006B7572" w:rsidRDefault="009F54F1" w:rsidP="00B50C6D">
            <w:pPr>
              <w:tabs>
                <w:tab w:val="left" w:pos="360"/>
              </w:tabs>
              <w:spacing w:after="0" w:line="276" w:lineRule="auto"/>
              <w:contextualSpacing/>
              <w:rPr>
                <w:rFonts w:ascii="Arial" w:eastAsia="Calibri" w:hAnsi="Arial" w:cs="Arial"/>
                <w:bCs/>
                <w:iCs/>
                <w:sz w:val="20"/>
                <w:szCs w:val="20"/>
                <w:lang w:val="en-US"/>
              </w:rPr>
            </w:pPr>
            <w:r w:rsidRPr="006B7572">
              <w:rPr>
                <w:rFonts w:ascii="Arial" w:eastAsia="Calibri" w:hAnsi="Arial" w:cs="Arial"/>
                <w:sz w:val="20"/>
                <w:szCs w:val="20"/>
                <w:lang w:val="en-US"/>
              </w:rPr>
              <w:t>Health system strategy</w:t>
            </w:r>
          </w:p>
        </w:tc>
        <w:tc>
          <w:tcPr>
            <w:tcW w:w="4406" w:type="dxa"/>
          </w:tcPr>
          <w:p w:rsidR="009F54F1" w:rsidRPr="00C63FDB" w:rsidRDefault="00BD20A6" w:rsidP="00BD20A6">
            <w:pPr>
              <w:tabs>
                <w:tab w:val="left" w:pos="338"/>
              </w:tabs>
              <w:spacing w:after="0" w:line="276" w:lineRule="auto"/>
              <w:ind w:right="-54"/>
              <w:contextualSpacing/>
              <w:rPr>
                <w:rFonts w:ascii="Arial" w:eastAsia="Calibri" w:hAnsi="Arial" w:cs="Arial"/>
                <w:bCs/>
                <w:iCs/>
                <w:sz w:val="20"/>
                <w:szCs w:val="20"/>
                <w:highlight w:val="yellow"/>
                <w:lang w:val="en-US"/>
              </w:rPr>
            </w:pPr>
            <w:r w:rsidRPr="00802EDC">
              <w:rPr>
                <w:rFonts w:ascii="Arial" w:eastAsia="Calibri" w:hAnsi="Arial" w:cs="Arial"/>
                <w:bCs/>
                <w:iCs/>
                <w:sz w:val="20"/>
                <w:szCs w:val="20"/>
                <w:lang w:val="en-US"/>
              </w:rPr>
              <w:t>Health Bulletin 201</w:t>
            </w:r>
            <w:r>
              <w:rPr>
                <w:rFonts w:ascii="Arial" w:eastAsia="Calibri" w:hAnsi="Arial" w:cs="Arial"/>
                <w:bCs/>
                <w:iCs/>
                <w:sz w:val="20"/>
                <w:szCs w:val="20"/>
                <w:lang w:val="en-US"/>
              </w:rPr>
              <w:t>6</w:t>
            </w:r>
            <w:r w:rsidRPr="00802EDC">
              <w:rPr>
                <w:rFonts w:ascii="Arial" w:eastAsia="Calibri" w:hAnsi="Arial" w:cs="Arial"/>
                <w:bCs/>
                <w:iCs/>
                <w:sz w:val="20"/>
                <w:szCs w:val="20"/>
                <w:lang w:val="en-US"/>
              </w:rPr>
              <w:t>, Ministry of Health and Family Welfare, Government of the People’s Republic of Bangladesh</w:t>
            </w:r>
            <w:r>
              <w:rPr>
                <w:rFonts w:ascii="Arial" w:eastAsia="Calibri" w:hAnsi="Arial" w:cs="Arial"/>
                <w:bCs/>
                <w:iCs/>
                <w:sz w:val="20"/>
                <w:szCs w:val="20"/>
                <w:lang w:val="en-US"/>
              </w:rPr>
              <w:t>.</w:t>
            </w:r>
          </w:p>
        </w:tc>
        <w:tc>
          <w:tcPr>
            <w:tcW w:w="1406" w:type="dxa"/>
            <w:vAlign w:val="center"/>
          </w:tcPr>
          <w:p w:rsidR="009F54F1" w:rsidRPr="006B7572" w:rsidRDefault="009F54F1" w:rsidP="00B50C6D">
            <w:pPr>
              <w:spacing w:after="0" w:line="276" w:lineRule="auto"/>
              <w:jc w:val="center"/>
              <w:rPr>
                <w:rFonts w:ascii="Arial" w:eastAsia="Calibri" w:hAnsi="Arial" w:cs="Arial"/>
                <w:bCs/>
                <w:iCs/>
                <w:sz w:val="20"/>
                <w:szCs w:val="20"/>
                <w:lang w:val="en-US"/>
              </w:rPr>
            </w:pPr>
          </w:p>
        </w:tc>
        <w:tc>
          <w:tcPr>
            <w:tcW w:w="850" w:type="dxa"/>
            <w:vAlign w:val="center"/>
          </w:tcPr>
          <w:p w:rsidR="009F54F1" w:rsidRPr="006B7572" w:rsidRDefault="00817B52" w:rsidP="00B50C6D">
            <w:pPr>
              <w:spacing w:after="0" w:line="240" w:lineRule="auto"/>
              <w:jc w:val="center"/>
              <w:rPr>
                <w:rFonts w:ascii="Arial" w:eastAsia="SimSun" w:hAnsi="Arial" w:cs="Arial"/>
                <w:b/>
                <w:color w:val="A6A6A6"/>
                <w:sz w:val="20"/>
                <w:szCs w:val="20"/>
                <w:lang w:val="en-US" w:eastAsia="zh-CN"/>
              </w:rPr>
            </w:pPr>
            <w:sdt>
              <w:sdtPr>
                <w:rPr>
                  <w:rFonts w:ascii="Arial" w:eastAsia="Calibri" w:hAnsi="Arial" w:cs="Arial"/>
                  <w:bCs/>
                  <w:iCs/>
                  <w:sz w:val="20"/>
                  <w:szCs w:val="20"/>
                  <w:lang w:val="en-US"/>
                </w:rPr>
                <w:id w:val="-1611280088"/>
              </w:sdtPr>
              <w:sdtContent>
                <w:r w:rsidR="009F54F1" w:rsidRPr="006B7572">
                  <w:rPr>
                    <w:rFonts w:ascii="Segoe UI Symbol" w:eastAsia="Calibri" w:hAnsi="Segoe UI Symbol" w:cs="Segoe UI Symbol"/>
                    <w:bCs/>
                    <w:iCs/>
                    <w:sz w:val="20"/>
                    <w:szCs w:val="20"/>
                    <w:lang w:val="en-US"/>
                  </w:rPr>
                  <w:t>☐</w:t>
                </w:r>
              </w:sdtContent>
            </w:sdt>
          </w:p>
        </w:tc>
      </w:tr>
      <w:tr w:rsidR="009F54F1" w:rsidRPr="006B7572" w:rsidTr="00042885">
        <w:tblPrEx>
          <w:jc w:val="left"/>
        </w:tblPrEx>
        <w:trPr>
          <w:gridAfter w:val="1"/>
          <w:wAfter w:w="34" w:type="dxa"/>
          <w:trHeight w:val="734"/>
        </w:trPr>
        <w:tc>
          <w:tcPr>
            <w:tcW w:w="2405" w:type="dxa"/>
            <w:shd w:val="clear" w:color="auto" w:fill="F2F2F2" w:themeFill="background1" w:themeFillShade="F2"/>
            <w:vAlign w:val="center"/>
          </w:tcPr>
          <w:p w:rsidR="009F54F1" w:rsidRPr="006B7572" w:rsidRDefault="009F54F1" w:rsidP="00B50C6D">
            <w:pPr>
              <w:tabs>
                <w:tab w:val="left" w:pos="360"/>
              </w:tabs>
              <w:spacing w:after="0" w:line="276" w:lineRule="auto"/>
              <w:contextualSpacing/>
              <w:rPr>
                <w:rFonts w:ascii="Arial" w:eastAsia="Calibri" w:hAnsi="Arial" w:cs="Arial"/>
                <w:sz w:val="20"/>
                <w:szCs w:val="20"/>
                <w:lang w:val="en-US"/>
              </w:rPr>
            </w:pPr>
            <w:r w:rsidRPr="006B7572">
              <w:rPr>
                <w:rFonts w:ascii="Arial" w:eastAsia="Calibri" w:hAnsi="Arial" w:cs="Arial"/>
                <w:sz w:val="20"/>
                <w:szCs w:val="20"/>
                <w:lang w:val="en-US"/>
              </w:rPr>
              <w:t>Human rights and gender considerations (cross-cutting)</w:t>
            </w:r>
          </w:p>
        </w:tc>
        <w:tc>
          <w:tcPr>
            <w:tcW w:w="4406" w:type="dxa"/>
          </w:tcPr>
          <w:p w:rsidR="009F54F1" w:rsidRPr="00C63FDB" w:rsidRDefault="00D516AB" w:rsidP="00804912">
            <w:pPr>
              <w:tabs>
                <w:tab w:val="left" w:pos="338"/>
              </w:tabs>
              <w:spacing w:after="0" w:line="276" w:lineRule="auto"/>
              <w:contextualSpacing/>
              <w:rPr>
                <w:rFonts w:ascii="Arial" w:eastAsia="Calibri" w:hAnsi="Arial" w:cs="Arial"/>
                <w:bCs/>
                <w:iCs/>
                <w:sz w:val="20"/>
                <w:szCs w:val="20"/>
                <w:highlight w:val="yellow"/>
                <w:lang w:val="en-US"/>
              </w:rPr>
            </w:pPr>
            <w:r>
              <w:rPr>
                <w:rFonts w:ascii="Arial" w:eastAsia="Calibri" w:hAnsi="Arial" w:cs="Arial"/>
                <w:bCs/>
                <w:iCs/>
                <w:sz w:val="20"/>
                <w:szCs w:val="20"/>
                <w:lang w:val="en-US"/>
              </w:rPr>
              <w:t>National Human Rights</w:t>
            </w:r>
            <w:r w:rsidR="00FB22F6">
              <w:rPr>
                <w:rFonts w:ascii="Arial" w:eastAsia="Calibri" w:hAnsi="Arial" w:cs="Arial"/>
                <w:bCs/>
                <w:iCs/>
                <w:sz w:val="20"/>
                <w:szCs w:val="20"/>
                <w:lang w:val="en-US"/>
              </w:rPr>
              <w:t xml:space="preserve"> Commission (JAMAKON) Bangladesh, Annual Report 2015.</w:t>
            </w:r>
          </w:p>
        </w:tc>
        <w:tc>
          <w:tcPr>
            <w:tcW w:w="1406" w:type="dxa"/>
            <w:vAlign w:val="center"/>
          </w:tcPr>
          <w:p w:rsidR="009F54F1" w:rsidRPr="006B7572" w:rsidRDefault="00FB22F6" w:rsidP="00B50C6D">
            <w:pPr>
              <w:spacing w:after="0" w:line="276" w:lineRule="auto"/>
              <w:jc w:val="center"/>
              <w:rPr>
                <w:rFonts w:ascii="Arial" w:eastAsia="Calibri" w:hAnsi="Arial" w:cs="Arial"/>
                <w:bCs/>
                <w:iCs/>
                <w:sz w:val="20"/>
                <w:szCs w:val="20"/>
                <w:lang w:val="en-US"/>
              </w:rPr>
            </w:pPr>
            <w:r>
              <w:rPr>
                <w:rFonts w:ascii="Arial" w:eastAsia="Calibri" w:hAnsi="Arial" w:cs="Arial"/>
                <w:bCs/>
                <w:iCs/>
                <w:sz w:val="20"/>
                <w:szCs w:val="20"/>
                <w:lang w:val="en-US"/>
              </w:rPr>
              <w:t>Chapter 2</w:t>
            </w:r>
          </w:p>
        </w:tc>
        <w:tc>
          <w:tcPr>
            <w:tcW w:w="850" w:type="dxa"/>
            <w:vAlign w:val="center"/>
          </w:tcPr>
          <w:p w:rsidR="009F54F1" w:rsidRPr="006B7572" w:rsidRDefault="00817B52" w:rsidP="00B50C6D">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79487682"/>
              </w:sdtPr>
              <w:sdtContent>
                <w:r w:rsidR="009F54F1" w:rsidRPr="006B7572">
                  <w:rPr>
                    <w:rFonts w:ascii="Segoe UI Symbol" w:eastAsia="Calibri" w:hAnsi="Segoe UI Symbol" w:cs="Segoe UI Symbol"/>
                    <w:bCs/>
                    <w:iCs/>
                    <w:sz w:val="20"/>
                    <w:szCs w:val="20"/>
                    <w:lang w:val="en-US"/>
                  </w:rPr>
                  <w:t>☐</w:t>
                </w:r>
              </w:sdtContent>
            </w:sdt>
          </w:p>
        </w:tc>
      </w:tr>
      <w:tr w:rsidR="00B50C6D" w:rsidRPr="006B7572" w:rsidTr="00FE411C">
        <w:tblPrEx>
          <w:jc w:val="left"/>
        </w:tblPrEx>
        <w:trPr>
          <w:gridAfter w:val="1"/>
          <w:wAfter w:w="34" w:type="dxa"/>
          <w:trHeight w:val="457"/>
        </w:trPr>
        <w:tc>
          <w:tcPr>
            <w:tcW w:w="9067" w:type="dxa"/>
            <w:gridSpan w:val="4"/>
            <w:shd w:val="clear" w:color="auto" w:fill="F2F2F2" w:themeFill="background1" w:themeFillShade="F2"/>
            <w:vAlign w:val="center"/>
          </w:tcPr>
          <w:p w:rsidR="00B50C6D" w:rsidRPr="006B7572" w:rsidRDefault="00B50C6D" w:rsidP="00B50C6D">
            <w:pPr>
              <w:spacing w:after="0" w:line="240" w:lineRule="auto"/>
              <w:rPr>
                <w:rFonts w:ascii="Arial" w:eastAsia="Calibri" w:hAnsi="Arial" w:cs="Arial"/>
                <w:bCs/>
                <w:iCs/>
                <w:sz w:val="20"/>
                <w:szCs w:val="20"/>
                <w:lang w:val="en-US"/>
              </w:rPr>
            </w:pPr>
            <w:r w:rsidRPr="006B7572">
              <w:rPr>
                <w:rFonts w:ascii="Arial" w:eastAsia="Calibri" w:hAnsi="Arial" w:cs="Arial"/>
                <w:b/>
                <w:sz w:val="20"/>
                <w:szCs w:val="20"/>
                <w:lang w:val="en-US"/>
              </w:rPr>
              <w:t>Disease-specific</w:t>
            </w:r>
          </w:p>
        </w:tc>
      </w:tr>
      <w:tr w:rsidR="009F54F1" w:rsidRPr="006B7572" w:rsidTr="00042885">
        <w:tblPrEx>
          <w:jc w:val="left"/>
        </w:tblPrEx>
        <w:trPr>
          <w:gridAfter w:val="1"/>
          <w:wAfter w:w="34" w:type="dxa"/>
          <w:trHeight w:val="677"/>
        </w:trPr>
        <w:tc>
          <w:tcPr>
            <w:tcW w:w="2405" w:type="dxa"/>
            <w:shd w:val="clear" w:color="auto" w:fill="F2F2F2" w:themeFill="background1" w:themeFillShade="F2"/>
            <w:vAlign w:val="center"/>
          </w:tcPr>
          <w:p w:rsidR="009F54F1" w:rsidRPr="006B7572" w:rsidRDefault="009F54F1" w:rsidP="00B50C6D">
            <w:pPr>
              <w:tabs>
                <w:tab w:val="left" w:pos="338"/>
              </w:tabs>
              <w:spacing w:after="0" w:line="276" w:lineRule="auto"/>
              <w:contextualSpacing/>
              <w:rPr>
                <w:rFonts w:ascii="Arial" w:eastAsia="Calibri" w:hAnsi="Arial" w:cs="Arial"/>
                <w:bCs/>
                <w:iCs/>
                <w:sz w:val="20"/>
                <w:szCs w:val="20"/>
                <w:lang w:val="en-US"/>
              </w:rPr>
            </w:pPr>
            <w:r w:rsidRPr="006B7572">
              <w:rPr>
                <w:rFonts w:ascii="Arial" w:eastAsia="Calibri" w:hAnsi="Arial" w:cs="Arial"/>
                <w:sz w:val="20"/>
                <w:szCs w:val="20"/>
                <w:lang w:val="en-US"/>
              </w:rPr>
              <w:t>Epidemiological profile (including interventions for key and vulnerable populations, as relevant)</w:t>
            </w:r>
          </w:p>
        </w:tc>
        <w:tc>
          <w:tcPr>
            <w:tcW w:w="4406" w:type="dxa"/>
          </w:tcPr>
          <w:p w:rsidR="002D5F29" w:rsidRPr="002D5F29" w:rsidRDefault="00513F8F" w:rsidP="002D5F29">
            <w:pPr>
              <w:spacing w:after="120"/>
              <w:rPr>
                <w:rFonts w:ascii="Arial" w:eastAsia="Calibri" w:hAnsi="Arial" w:cs="Arial"/>
                <w:bCs/>
                <w:iCs/>
                <w:sz w:val="20"/>
                <w:szCs w:val="20"/>
                <w:lang w:val="en-US"/>
              </w:rPr>
            </w:pPr>
            <w:r w:rsidRPr="002D5F29">
              <w:rPr>
                <w:rFonts w:ascii="Arial" w:eastAsia="Calibri" w:hAnsi="Arial" w:cs="Arial"/>
                <w:bCs/>
                <w:iCs/>
                <w:sz w:val="20"/>
                <w:szCs w:val="20"/>
                <w:lang w:val="en-US"/>
              </w:rPr>
              <w:t>Sean Hewitt (2016) ‘A review of the epidemiology of malaria in Bangladesh’, unpublished r</w:t>
            </w:r>
            <w:r w:rsidR="00251009">
              <w:rPr>
                <w:rFonts w:ascii="Arial" w:eastAsia="Calibri" w:hAnsi="Arial" w:cs="Arial"/>
                <w:bCs/>
                <w:iCs/>
                <w:sz w:val="20"/>
                <w:szCs w:val="20"/>
                <w:lang w:val="en-US"/>
              </w:rPr>
              <w:t>eport for NMCP, 8 December 2016</w:t>
            </w:r>
            <w:r w:rsidR="002D5F29" w:rsidRPr="002D5F29">
              <w:rPr>
                <w:rFonts w:ascii="Arial" w:eastAsia="Calibri" w:hAnsi="Arial" w:cs="Arial"/>
                <w:bCs/>
                <w:iCs/>
                <w:sz w:val="20"/>
                <w:szCs w:val="20"/>
                <w:lang w:val="en-US"/>
              </w:rPr>
              <w:t>(</w:t>
            </w:r>
            <w:r w:rsidR="00251009">
              <w:rPr>
                <w:rFonts w:ascii="Arial" w:eastAsia="Calibri" w:hAnsi="Arial" w:cs="Arial"/>
                <w:bCs/>
                <w:iCs/>
                <w:sz w:val="20"/>
                <w:szCs w:val="20"/>
                <w:lang w:val="en-US"/>
              </w:rPr>
              <w:t>i</w:t>
            </w:r>
            <w:r w:rsidR="00251009" w:rsidRPr="002D5F29">
              <w:rPr>
                <w:rFonts w:ascii="Arial" w:eastAsia="Calibri" w:hAnsi="Arial" w:cs="Arial"/>
                <w:bCs/>
                <w:iCs/>
                <w:sz w:val="20"/>
                <w:szCs w:val="20"/>
                <w:lang w:val="en-US"/>
              </w:rPr>
              <w:t>ncludes</w:t>
            </w:r>
            <w:r w:rsidR="002D5F29" w:rsidRPr="002D5F29">
              <w:rPr>
                <w:rFonts w:ascii="Arial" w:eastAsia="Calibri" w:hAnsi="Arial" w:cs="Arial"/>
                <w:bCs/>
                <w:iCs/>
                <w:sz w:val="20"/>
                <w:szCs w:val="20"/>
                <w:lang w:val="en-US"/>
              </w:rPr>
              <w:t xml:space="preserve"> ‘Annex 1. The 2014 malaria outbreak in Bangladesh’ and </w:t>
            </w:r>
            <w:r w:rsidR="002D5F29">
              <w:rPr>
                <w:rFonts w:ascii="Arial" w:eastAsia="Calibri" w:hAnsi="Arial" w:cs="Arial"/>
                <w:bCs/>
                <w:iCs/>
                <w:sz w:val="20"/>
                <w:szCs w:val="20"/>
                <w:lang w:val="en-US"/>
              </w:rPr>
              <w:t>‘</w:t>
            </w:r>
            <w:r w:rsidR="002D5F29" w:rsidRPr="002D5F29">
              <w:rPr>
                <w:rFonts w:ascii="Arial" w:eastAsia="Calibri" w:hAnsi="Arial" w:cs="Arial"/>
                <w:bCs/>
                <w:iCs/>
                <w:sz w:val="20"/>
                <w:szCs w:val="20"/>
                <w:lang w:val="en-US"/>
              </w:rPr>
              <w:t>Annex 2. Data anomalies due to the misinterpretation of Pf/Pan-specific rapid diagnostic tests in Bangladesh between 2014 and 2016</w:t>
            </w:r>
            <w:r w:rsidR="002D5F29">
              <w:rPr>
                <w:rFonts w:ascii="Arial" w:eastAsia="Calibri" w:hAnsi="Arial" w:cs="Arial"/>
                <w:bCs/>
                <w:iCs/>
                <w:sz w:val="20"/>
                <w:szCs w:val="20"/>
                <w:lang w:val="en-US"/>
              </w:rPr>
              <w:t>’</w:t>
            </w:r>
            <w:r w:rsidR="00251009">
              <w:rPr>
                <w:rFonts w:ascii="Arial" w:eastAsia="Calibri" w:hAnsi="Arial" w:cs="Arial"/>
                <w:bCs/>
                <w:iCs/>
                <w:sz w:val="20"/>
                <w:szCs w:val="20"/>
                <w:lang w:val="en-US"/>
              </w:rPr>
              <w:t>)</w:t>
            </w:r>
            <w:r w:rsidR="002D5F29" w:rsidRPr="002D5F29">
              <w:rPr>
                <w:rFonts w:ascii="Arial" w:eastAsia="Calibri" w:hAnsi="Arial" w:cs="Arial"/>
                <w:bCs/>
                <w:iCs/>
                <w:sz w:val="20"/>
                <w:szCs w:val="20"/>
                <w:lang w:val="en-US"/>
              </w:rPr>
              <w:t xml:space="preserve">. </w:t>
            </w:r>
          </w:p>
          <w:p w:rsidR="009F54F1" w:rsidRPr="00513F8F" w:rsidRDefault="00513F8F" w:rsidP="002D5F29">
            <w:pPr>
              <w:tabs>
                <w:tab w:val="left" w:pos="338"/>
              </w:tabs>
              <w:spacing w:after="0" w:line="276" w:lineRule="auto"/>
              <w:contextualSpacing/>
              <w:rPr>
                <w:rFonts w:ascii="Arial" w:eastAsia="Calibri" w:hAnsi="Arial" w:cs="Arial"/>
                <w:b/>
                <w:bCs/>
                <w:iCs/>
                <w:sz w:val="20"/>
                <w:szCs w:val="20"/>
                <w:lang w:val="en-US"/>
              </w:rPr>
            </w:pPr>
            <w:r w:rsidRPr="00513F8F">
              <w:rPr>
                <w:rFonts w:ascii="Arial" w:eastAsia="Calibri" w:hAnsi="Arial" w:cs="Arial"/>
                <w:bCs/>
                <w:iCs/>
                <w:sz w:val="20"/>
                <w:szCs w:val="20"/>
                <w:lang w:val="en-US"/>
              </w:rPr>
              <w:t>National Strategic Plan for Malaria Elimination -</w:t>
            </w:r>
            <w:r w:rsidRPr="00513F8F">
              <w:rPr>
                <w:rFonts w:ascii="Arial" w:eastAsia="Calibri" w:hAnsi="Arial" w:cs="Arial"/>
                <w:bCs/>
                <w:i/>
                <w:iCs/>
                <w:sz w:val="20"/>
                <w:szCs w:val="20"/>
              </w:rPr>
              <w:t>A path to the phased elimination of malaria from Bangladesh</w:t>
            </w:r>
            <w:r>
              <w:rPr>
                <w:rFonts w:ascii="Arial" w:eastAsia="Calibri" w:hAnsi="Arial" w:cs="Arial"/>
                <w:bCs/>
                <w:i/>
                <w:iCs/>
                <w:sz w:val="20"/>
                <w:szCs w:val="20"/>
              </w:rPr>
              <w:t xml:space="preserve">, 2017-2021, </w:t>
            </w:r>
            <w:r w:rsidRPr="00513F8F">
              <w:rPr>
                <w:rFonts w:ascii="Arial" w:eastAsia="Calibri" w:hAnsi="Arial" w:cs="Arial"/>
                <w:bCs/>
                <w:iCs/>
                <w:sz w:val="20"/>
                <w:szCs w:val="20"/>
              </w:rPr>
              <w:t>19 January 2017.</w:t>
            </w:r>
          </w:p>
        </w:tc>
        <w:tc>
          <w:tcPr>
            <w:tcW w:w="1406" w:type="dxa"/>
            <w:vAlign w:val="center"/>
          </w:tcPr>
          <w:p w:rsidR="00513F8F" w:rsidRDefault="00513F8F" w:rsidP="00B50C6D">
            <w:pPr>
              <w:spacing w:after="0" w:line="276" w:lineRule="auto"/>
              <w:jc w:val="center"/>
              <w:rPr>
                <w:rFonts w:ascii="Arial" w:eastAsia="Calibri" w:hAnsi="Arial" w:cs="Arial"/>
                <w:bCs/>
                <w:iCs/>
                <w:sz w:val="20"/>
                <w:szCs w:val="20"/>
                <w:lang w:val="en-US"/>
              </w:rPr>
            </w:pPr>
          </w:p>
          <w:p w:rsidR="00513F8F" w:rsidRDefault="00513F8F" w:rsidP="00B50C6D">
            <w:pPr>
              <w:spacing w:after="0" w:line="276" w:lineRule="auto"/>
              <w:jc w:val="center"/>
              <w:rPr>
                <w:rFonts w:ascii="Arial" w:eastAsia="Calibri" w:hAnsi="Arial" w:cs="Arial"/>
                <w:bCs/>
                <w:iCs/>
                <w:sz w:val="20"/>
                <w:szCs w:val="20"/>
                <w:lang w:val="en-US"/>
              </w:rPr>
            </w:pPr>
          </w:p>
          <w:p w:rsidR="00513F8F" w:rsidRDefault="00513F8F" w:rsidP="00B50C6D">
            <w:pPr>
              <w:spacing w:after="0" w:line="276" w:lineRule="auto"/>
              <w:jc w:val="center"/>
              <w:rPr>
                <w:rFonts w:ascii="Arial" w:eastAsia="Calibri" w:hAnsi="Arial" w:cs="Arial"/>
                <w:bCs/>
                <w:iCs/>
                <w:sz w:val="20"/>
                <w:szCs w:val="20"/>
                <w:lang w:val="en-US"/>
              </w:rPr>
            </w:pPr>
          </w:p>
          <w:p w:rsidR="009F54F1" w:rsidRDefault="00513F8F" w:rsidP="00B50C6D">
            <w:pPr>
              <w:spacing w:after="0" w:line="276" w:lineRule="auto"/>
              <w:jc w:val="center"/>
              <w:rPr>
                <w:rFonts w:ascii="Arial" w:eastAsia="Calibri" w:hAnsi="Arial" w:cs="Arial"/>
                <w:bCs/>
                <w:iCs/>
                <w:sz w:val="20"/>
                <w:szCs w:val="20"/>
                <w:lang w:val="en-US"/>
              </w:rPr>
            </w:pPr>
            <w:r>
              <w:rPr>
                <w:rFonts w:ascii="Arial" w:eastAsia="Calibri" w:hAnsi="Arial" w:cs="Arial"/>
                <w:bCs/>
                <w:iCs/>
                <w:sz w:val="20"/>
                <w:szCs w:val="20"/>
                <w:lang w:val="en-US"/>
              </w:rPr>
              <w:t>P 2-21.</w:t>
            </w:r>
          </w:p>
          <w:p w:rsidR="00513F8F" w:rsidRDefault="00513F8F" w:rsidP="00B50C6D">
            <w:pPr>
              <w:spacing w:after="0" w:line="276" w:lineRule="auto"/>
              <w:jc w:val="center"/>
              <w:rPr>
                <w:rFonts w:ascii="Arial" w:eastAsia="Calibri" w:hAnsi="Arial" w:cs="Arial"/>
                <w:bCs/>
                <w:iCs/>
                <w:sz w:val="20"/>
                <w:szCs w:val="20"/>
                <w:lang w:val="en-US"/>
              </w:rPr>
            </w:pPr>
          </w:p>
          <w:p w:rsidR="00513F8F" w:rsidRDefault="00513F8F" w:rsidP="00B50C6D">
            <w:pPr>
              <w:spacing w:after="0" w:line="276" w:lineRule="auto"/>
              <w:jc w:val="center"/>
              <w:rPr>
                <w:rFonts w:ascii="Arial" w:eastAsia="Calibri" w:hAnsi="Arial" w:cs="Arial"/>
                <w:bCs/>
                <w:iCs/>
                <w:sz w:val="20"/>
                <w:szCs w:val="20"/>
                <w:lang w:val="en-US"/>
              </w:rPr>
            </w:pPr>
          </w:p>
          <w:p w:rsidR="00513F8F" w:rsidRDefault="00513F8F" w:rsidP="00B50C6D">
            <w:pPr>
              <w:spacing w:after="0" w:line="276" w:lineRule="auto"/>
              <w:jc w:val="center"/>
              <w:rPr>
                <w:rFonts w:ascii="Arial" w:eastAsia="Calibri" w:hAnsi="Arial" w:cs="Arial"/>
                <w:bCs/>
                <w:iCs/>
                <w:sz w:val="20"/>
                <w:szCs w:val="20"/>
                <w:lang w:val="en-US"/>
              </w:rPr>
            </w:pPr>
          </w:p>
          <w:p w:rsidR="00513F8F" w:rsidRDefault="00513F8F" w:rsidP="00B50C6D">
            <w:pPr>
              <w:spacing w:after="0" w:line="276" w:lineRule="auto"/>
              <w:jc w:val="center"/>
              <w:rPr>
                <w:rFonts w:ascii="Arial" w:eastAsia="Calibri" w:hAnsi="Arial" w:cs="Arial"/>
                <w:bCs/>
                <w:iCs/>
                <w:sz w:val="20"/>
                <w:szCs w:val="20"/>
                <w:lang w:val="en-US"/>
              </w:rPr>
            </w:pPr>
          </w:p>
          <w:p w:rsidR="00513F8F" w:rsidRPr="006B7572" w:rsidRDefault="00513F8F" w:rsidP="00513F8F">
            <w:pPr>
              <w:spacing w:after="0" w:line="276" w:lineRule="auto"/>
              <w:jc w:val="center"/>
              <w:rPr>
                <w:rFonts w:ascii="Arial" w:eastAsia="Calibri" w:hAnsi="Arial" w:cs="Arial"/>
                <w:bCs/>
                <w:iCs/>
                <w:sz w:val="20"/>
                <w:szCs w:val="20"/>
                <w:lang w:val="en-US"/>
              </w:rPr>
            </w:pPr>
            <w:r>
              <w:rPr>
                <w:rFonts w:ascii="Arial" w:eastAsia="Calibri" w:hAnsi="Arial" w:cs="Arial"/>
                <w:bCs/>
                <w:iCs/>
                <w:sz w:val="20"/>
                <w:szCs w:val="20"/>
                <w:lang w:val="en-US"/>
              </w:rPr>
              <w:t>P 10-19.</w:t>
            </w:r>
          </w:p>
        </w:tc>
        <w:tc>
          <w:tcPr>
            <w:tcW w:w="850" w:type="dxa"/>
            <w:vAlign w:val="center"/>
          </w:tcPr>
          <w:p w:rsidR="009F54F1" w:rsidRPr="006B7572" w:rsidRDefault="00817B52" w:rsidP="00B50C6D">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1368335482"/>
              </w:sdtPr>
              <w:sdtContent>
                <w:r w:rsidR="009F54F1" w:rsidRPr="006B7572">
                  <w:rPr>
                    <w:rFonts w:ascii="Segoe UI Symbol" w:eastAsia="Calibri" w:hAnsi="Segoe UI Symbol" w:cs="Segoe UI Symbol"/>
                    <w:bCs/>
                    <w:iCs/>
                    <w:sz w:val="20"/>
                    <w:szCs w:val="20"/>
                    <w:lang w:val="en-US"/>
                  </w:rPr>
                  <w:t>☐</w:t>
                </w:r>
              </w:sdtContent>
            </w:sdt>
          </w:p>
        </w:tc>
      </w:tr>
      <w:tr w:rsidR="009F54F1" w:rsidRPr="006B7572" w:rsidTr="00042885">
        <w:tblPrEx>
          <w:jc w:val="left"/>
        </w:tblPrEx>
        <w:trPr>
          <w:gridAfter w:val="1"/>
          <w:wAfter w:w="34" w:type="dxa"/>
          <w:trHeight w:val="677"/>
        </w:trPr>
        <w:tc>
          <w:tcPr>
            <w:tcW w:w="2405" w:type="dxa"/>
            <w:shd w:val="clear" w:color="auto" w:fill="F2F2F2" w:themeFill="background1" w:themeFillShade="F2"/>
            <w:vAlign w:val="center"/>
          </w:tcPr>
          <w:p w:rsidR="009F54F1" w:rsidRPr="006B7572" w:rsidRDefault="009F54F1" w:rsidP="00B50C6D">
            <w:pPr>
              <w:tabs>
                <w:tab w:val="left" w:pos="338"/>
              </w:tabs>
              <w:spacing w:after="0" w:line="276" w:lineRule="auto"/>
              <w:contextualSpacing/>
              <w:rPr>
                <w:rFonts w:ascii="Arial" w:eastAsia="Calibri" w:hAnsi="Arial" w:cs="Arial"/>
                <w:bCs/>
                <w:iCs/>
                <w:sz w:val="20"/>
                <w:szCs w:val="20"/>
                <w:lang w:val="en-US"/>
              </w:rPr>
            </w:pPr>
            <w:r w:rsidRPr="006B7572">
              <w:rPr>
                <w:rFonts w:ascii="Arial" w:eastAsia="Calibri" w:hAnsi="Arial" w:cs="Arial"/>
                <w:sz w:val="20"/>
                <w:szCs w:val="20"/>
                <w:lang w:val="en-US"/>
              </w:rPr>
              <w:t>Disease strategy (including interventions for key and vulnerable populations, as relevant)</w:t>
            </w:r>
          </w:p>
        </w:tc>
        <w:tc>
          <w:tcPr>
            <w:tcW w:w="4406" w:type="dxa"/>
          </w:tcPr>
          <w:p w:rsidR="009F54F1" w:rsidRPr="002D14E1" w:rsidRDefault="00513F8F" w:rsidP="002D5F29">
            <w:pPr>
              <w:tabs>
                <w:tab w:val="left" w:pos="338"/>
              </w:tabs>
              <w:spacing w:after="0" w:line="276" w:lineRule="auto"/>
              <w:contextualSpacing/>
              <w:rPr>
                <w:rFonts w:ascii="Arial" w:eastAsia="Calibri" w:hAnsi="Arial" w:cs="Arial"/>
                <w:b/>
                <w:bCs/>
                <w:iCs/>
                <w:sz w:val="20"/>
                <w:szCs w:val="20"/>
                <w:lang w:val="en-US"/>
              </w:rPr>
            </w:pPr>
            <w:r w:rsidRPr="00513F8F">
              <w:rPr>
                <w:rFonts w:ascii="Arial" w:eastAsia="Calibri" w:hAnsi="Arial" w:cs="Arial"/>
                <w:bCs/>
                <w:iCs/>
                <w:sz w:val="20"/>
                <w:szCs w:val="20"/>
                <w:lang w:val="en-US"/>
              </w:rPr>
              <w:t>National Strategic Plan for Malaria Elimination -</w:t>
            </w:r>
            <w:r w:rsidRPr="00513F8F">
              <w:rPr>
                <w:rFonts w:ascii="Arial" w:eastAsia="Calibri" w:hAnsi="Arial" w:cs="Arial"/>
                <w:bCs/>
                <w:i/>
                <w:iCs/>
                <w:sz w:val="20"/>
                <w:szCs w:val="20"/>
              </w:rPr>
              <w:t>A path to the phased elimination of malaria from Bangladesh</w:t>
            </w:r>
            <w:r>
              <w:rPr>
                <w:rFonts w:ascii="Arial" w:eastAsia="Calibri" w:hAnsi="Arial" w:cs="Arial"/>
                <w:bCs/>
                <w:i/>
                <w:iCs/>
                <w:sz w:val="20"/>
                <w:szCs w:val="20"/>
              </w:rPr>
              <w:t xml:space="preserve">, 2017-2021, </w:t>
            </w:r>
            <w:r w:rsidRPr="00513F8F">
              <w:rPr>
                <w:rFonts w:ascii="Arial" w:eastAsia="Calibri" w:hAnsi="Arial" w:cs="Arial"/>
                <w:bCs/>
                <w:iCs/>
                <w:sz w:val="20"/>
                <w:szCs w:val="20"/>
              </w:rPr>
              <w:t>19 January 2017.</w:t>
            </w:r>
          </w:p>
        </w:tc>
        <w:tc>
          <w:tcPr>
            <w:tcW w:w="1406" w:type="dxa"/>
            <w:vAlign w:val="center"/>
          </w:tcPr>
          <w:p w:rsidR="009F54F1" w:rsidRPr="006B7572" w:rsidRDefault="00513F8F" w:rsidP="00251009">
            <w:pPr>
              <w:spacing w:after="0" w:line="276" w:lineRule="auto"/>
              <w:jc w:val="center"/>
              <w:rPr>
                <w:rFonts w:ascii="Arial" w:eastAsia="Calibri" w:hAnsi="Arial" w:cs="Arial"/>
                <w:bCs/>
                <w:iCs/>
                <w:sz w:val="20"/>
                <w:szCs w:val="20"/>
                <w:lang w:val="en-US"/>
              </w:rPr>
            </w:pPr>
            <w:r>
              <w:rPr>
                <w:rFonts w:ascii="Arial" w:eastAsia="Calibri" w:hAnsi="Arial" w:cs="Arial"/>
                <w:bCs/>
                <w:iCs/>
                <w:sz w:val="20"/>
                <w:szCs w:val="20"/>
                <w:lang w:val="en-US"/>
              </w:rPr>
              <w:t xml:space="preserve">P </w:t>
            </w:r>
            <w:r w:rsidR="00251009">
              <w:rPr>
                <w:rFonts w:ascii="Arial" w:eastAsia="Calibri" w:hAnsi="Arial" w:cs="Arial"/>
                <w:bCs/>
                <w:iCs/>
                <w:sz w:val="20"/>
                <w:szCs w:val="20"/>
                <w:lang w:val="en-US"/>
              </w:rPr>
              <w:t>26-54</w:t>
            </w:r>
            <w:r>
              <w:rPr>
                <w:rFonts w:ascii="Arial" w:eastAsia="Calibri" w:hAnsi="Arial" w:cs="Arial"/>
                <w:bCs/>
                <w:iCs/>
                <w:sz w:val="20"/>
                <w:szCs w:val="20"/>
                <w:lang w:val="en-US"/>
              </w:rPr>
              <w:t>.</w:t>
            </w:r>
          </w:p>
        </w:tc>
        <w:tc>
          <w:tcPr>
            <w:tcW w:w="850" w:type="dxa"/>
            <w:vAlign w:val="center"/>
          </w:tcPr>
          <w:p w:rsidR="009F54F1" w:rsidRPr="006B7572" w:rsidRDefault="00817B52" w:rsidP="00B50C6D">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1507287556"/>
              </w:sdtPr>
              <w:sdtContent>
                <w:r w:rsidR="009F54F1" w:rsidRPr="006B7572">
                  <w:rPr>
                    <w:rFonts w:ascii="Segoe UI Symbol" w:eastAsia="Calibri" w:hAnsi="Segoe UI Symbol" w:cs="Segoe UI Symbol"/>
                    <w:bCs/>
                    <w:iCs/>
                    <w:sz w:val="20"/>
                    <w:szCs w:val="20"/>
                    <w:lang w:val="en-US"/>
                  </w:rPr>
                  <w:t>☐</w:t>
                </w:r>
              </w:sdtContent>
            </w:sdt>
          </w:p>
        </w:tc>
      </w:tr>
      <w:tr w:rsidR="009F54F1" w:rsidRPr="006B7572" w:rsidTr="00042885">
        <w:tblPrEx>
          <w:jc w:val="left"/>
        </w:tblPrEx>
        <w:trPr>
          <w:gridAfter w:val="1"/>
          <w:wAfter w:w="34" w:type="dxa"/>
          <w:trHeight w:val="677"/>
        </w:trPr>
        <w:tc>
          <w:tcPr>
            <w:tcW w:w="2405" w:type="dxa"/>
            <w:shd w:val="clear" w:color="auto" w:fill="F2F2F2" w:themeFill="background1" w:themeFillShade="F2"/>
            <w:vAlign w:val="center"/>
          </w:tcPr>
          <w:p w:rsidR="009F54F1" w:rsidRPr="006B7572" w:rsidRDefault="009F54F1" w:rsidP="00B50C6D">
            <w:pPr>
              <w:tabs>
                <w:tab w:val="left" w:pos="338"/>
              </w:tabs>
              <w:spacing w:after="0" w:line="276" w:lineRule="auto"/>
              <w:contextualSpacing/>
              <w:rPr>
                <w:rFonts w:ascii="Arial" w:eastAsia="Calibri" w:hAnsi="Arial" w:cs="Arial"/>
                <w:bCs/>
                <w:iCs/>
                <w:sz w:val="20"/>
                <w:szCs w:val="20"/>
                <w:lang w:val="en-US"/>
              </w:rPr>
            </w:pPr>
            <w:r w:rsidRPr="006B7572">
              <w:rPr>
                <w:rFonts w:ascii="Arial" w:eastAsia="Calibri" w:hAnsi="Arial" w:cs="Arial"/>
                <w:sz w:val="20"/>
                <w:szCs w:val="20"/>
                <w:lang w:val="en-US"/>
              </w:rPr>
              <w:t>Operational plan, including budgetary framework</w:t>
            </w:r>
          </w:p>
        </w:tc>
        <w:tc>
          <w:tcPr>
            <w:tcW w:w="4406" w:type="dxa"/>
          </w:tcPr>
          <w:p w:rsidR="00251009" w:rsidRDefault="00251009" w:rsidP="002D5F29">
            <w:pPr>
              <w:tabs>
                <w:tab w:val="left" w:pos="338"/>
              </w:tabs>
              <w:spacing w:after="0" w:line="276" w:lineRule="auto"/>
              <w:contextualSpacing/>
              <w:rPr>
                <w:rFonts w:ascii="Arial" w:eastAsia="Calibri" w:hAnsi="Arial" w:cs="Arial"/>
                <w:bCs/>
                <w:iCs/>
                <w:color w:val="FF0000"/>
                <w:sz w:val="20"/>
                <w:szCs w:val="20"/>
                <w:lang w:val="en-US"/>
              </w:rPr>
            </w:pPr>
            <w:r w:rsidRPr="00513F8F">
              <w:rPr>
                <w:rFonts w:ascii="Arial" w:eastAsia="Calibri" w:hAnsi="Arial" w:cs="Arial"/>
                <w:bCs/>
                <w:iCs/>
                <w:sz w:val="20"/>
                <w:szCs w:val="20"/>
                <w:lang w:val="en-US"/>
              </w:rPr>
              <w:t>National Strategic Plan for Malaria Elimination -</w:t>
            </w:r>
            <w:r w:rsidRPr="00513F8F">
              <w:rPr>
                <w:rFonts w:ascii="Arial" w:eastAsia="Calibri" w:hAnsi="Arial" w:cs="Arial"/>
                <w:bCs/>
                <w:i/>
                <w:iCs/>
                <w:sz w:val="20"/>
                <w:szCs w:val="20"/>
              </w:rPr>
              <w:t>A path to the phased elimination of malaria from Bangladesh</w:t>
            </w:r>
            <w:r>
              <w:rPr>
                <w:rFonts w:ascii="Arial" w:eastAsia="Calibri" w:hAnsi="Arial" w:cs="Arial"/>
                <w:bCs/>
                <w:i/>
                <w:iCs/>
                <w:sz w:val="20"/>
                <w:szCs w:val="20"/>
              </w:rPr>
              <w:t xml:space="preserve">, 2017-2021, </w:t>
            </w:r>
            <w:r w:rsidRPr="00513F8F">
              <w:rPr>
                <w:rFonts w:ascii="Arial" w:eastAsia="Calibri" w:hAnsi="Arial" w:cs="Arial"/>
                <w:bCs/>
                <w:iCs/>
                <w:sz w:val="20"/>
                <w:szCs w:val="20"/>
              </w:rPr>
              <w:t>19 January 2017.</w:t>
            </w:r>
          </w:p>
          <w:p w:rsidR="009F54F1" w:rsidRPr="002D14E1" w:rsidRDefault="002D14E1" w:rsidP="002D5F29">
            <w:pPr>
              <w:tabs>
                <w:tab w:val="left" w:pos="338"/>
              </w:tabs>
              <w:spacing w:after="0" w:line="276" w:lineRule="auto"/>
              <w:contextualSpacing/>
              <w:rPr>
                <w:rFonts w:ascii="Arial" w:eastAsia="Calibri" w:hAnsi="Arial" w:cs="Arial"/>
                <w:bCs/>
                <w:iCs/>
                <w:color w:val="FF0000"/>
                <w:sz w:val="20"/>
                <w:szCs w:val="20"/>
                <w:lang w:val="en-US"/>
              </w:rPr>
            </w:pPr>
            <w:r>
              <w:rPr>
                <w:rFonts w:ascii="Arial" w:eastAsia="Calibri" w:hAnsi="Arial" w:cs="Arial"/>
                <w:bCs/>
                <w:iCs/>
                <w:color w:val="FF0000"/>
                <w:sz w:val="20"/>
                <w:szCs w:val="20"/>
                <w:lang w:val="en-US"/>
              </w:rPr>
              <w:lastRenderedPageBreak/>
              <w:t>‘</w:t>
            </w:r>
            <w:r w:rsidRPr="002D14E1">
              <w:rPr>
                <w:rFonts w:ascii="Arial" w:eastAsia="Calibri" w:hAnsi="Arial" w:cs="Arial"/>
                <w:bCs/>
                <w:iCs/>
                <w:color w:val="FF0000"/>
                <w:sz w:val="20"/>
                <w:szCs w:val="20"/>
                <w:lang w:val="en-US"/>
              </w:rPr>
              <w:t>Bangladesh NSPME budget</w:t>
            </w:r>
            <w:r>
              <w:rPr>
                <w:rFonts w:ascii="Arial" w:eastAsia="Calibri" w:hAnsi="Arial" w:cs="Arial"/>
                <w:bCs/>
                <w:iCs/>
                <w:color w:val="FF0000"/>
                <w:sz w:val="20"/>
                <w:szCs w:val="20"/>
                <w:lang w:val="en-US"/>
              </w:rPr>
              <w:t>.xlsx’</w:t>
            </w:r>
          </w:p>
        </w:tc>
        <w:tc>
          <w:tcPr>
            <w:tcW w:w="1406" w:type="dxa"/>
            <w:vAlign w:val="center"/>
          </w:tcPr>
          <w:p w:rsidR="009F54F1" w:rsidRDefault="00251009" w:rsidP="00251009">
            <w:pPr>
              <w:spacing w:after="0" w:line="276" w:lineRule="auto"/>
              <w:jc w:val="center"/>
              <w:rPr>
                <w:rFonts w:ascii="Arial" w:eastAsia="Calibri" w:hAnsi="Arial" w:cs="Arial"/>
                <w:bCs/>
                <w:iCs/>
                <w:sz w:val="20"/>
                <w:szCs w:val="20"/>
                <w:lang w:val="en-US"/>
              </w:rPr>
            </w:pPr>
            <w:r>
              <w:rPr>
                <w:rFonts w:ascii="Arial" w:eastAsia="Calibri" w:hAnsi="Arial" w:cs="Arial"/>
                <w:bCs/>
                <w:iCs/>
                <w:sz w:val="20"/>
                <w:szCs w:val="20"/>
                <w:lang w:val="en-US"/>
              </w:rPr>
              <w:lastRenderedPageBreak/>
              <w:t>P 30-54</w:t>
            </w:r>
          </w:p>
          <w:p w:rsidR="00251009" w:rsidRDefault="00251009" w:rsidP="00251009">
            <w:pPr>
              <w:spacing w:after="0" w:line="276" w:lineRule="auto"/>
              <w:jc w:val="center"/>
              <w:rPr>
                <w:rFonts w:ascii="Arial" w:eastAsia="Calibri" w:hAnsi="Arial" w:cs="Arial"/>
                <w:bCs/>
                <w:iCs/>
                <w:sz w:val="20"/>
                <w:szCs w:val="20"/>
                <w:lang w:val="en-US"/>
              </w:rPr>
            </w:pPr>
          </w:p>
          <w:p w:rsidR="00251009" w:rsidRDefault="00251009" w:rsidP="00251009">
            <w:pPr>
              <w:spacing w:after="0" w:line="276" w:lineRule="auto"/>
              <w:jc w:val="center"/>
              <w:rPr>
                <w:rFonts w:ascii="Arial" w:eastAsia="Calibri" w:hAnsi="Arial" w:cs="Arial"/>
                <w:bCs/>
                <w:iCs/>
                <w:sz w:val="20"/>
                <w:szCs w:val="20"/>
                <w:lang w:val="en-US"/>
              </w:rPr>
            </w:pPr>
          </w:p>
          <w:p w:rsidR="00251009" w:rsidRDefault="00251009" w:rsidP="00251009">
            <w:pPr>
              <w:spacing w:after="0" w:line="276" w:lineRule="auto"/>
              <w:jc w:val="center"/>
              <w:rPr>
                <w:rFonts w:ascii="Arial" w:eastAsia="Calibri" w:hAnsi="Arial" w:cs="Arial"/>
                <w:bCs/>
                <w:iCs/>
                <w:sz w:val="20"/>
                <w:szCs w:val="20"/>
                <w:lang w:val="en-US"/>
              </w:rPr>
            </w:pPr>
          </w:p>
          <w:p w:rsidR="00251009" w:rsidRPr="006B7572" w:rsidRDefault="00251009" w:rsidP="00251009">
            <w:pPr>
              <w:spacing w:after="0" w:line="276" w:lineRule="auto"/>
              <w:jc w:val="center"/>
              <w:rPr>
                <w:rFonts w:ascii="Arial" w:eastAsia="Calibri" w:hAnsi="Arial" w:cs="Arial"/>
                <w:bCs/>
                <w:iCs/>
                <w:sz w:val="20"/>
                <w:szCs w:val="20"/>
                <w:lang w:val="en-US"/>
              </w:rPr>
            </w:pPr>
            <w:r>
              <w:rPr>
                <w:rFonts w:ascii="Arial" w:eastAsia="Calibri" w:hAnsi="Arial" w:cs="Arial"/>
                <w:bCs/>
                <w:iCs/>
                <w:sz w:val="20"/>
                <w:szCs w:val="20"/>
                <w:lang w:val="en-US"/>
              </w:rPr>
              <w:lastRenderedPageBreak/>
              <w:t>Whole workbook</w:t>
            </w:r>
          </w:p>
        </w:tc>
        <w:tc>
          <w:tcPr>
            <w:tcW w:w="850" w:type="dxa"/>
            <w:vAlign w:val="center"/>
          </w:tcPr>
          <w:p w:rsidR="009F54F1" w:rsidRPr="006B7572" w:rsidRDefault="00817B52" w:rsidP="00B50C6D">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1254424447"/>
              </w:sdtPr>
              <w:sdtContent>
                <w:r w:rsidR="009F54F1" w:rsidRPr="006B7572">
                  <w:rPr>
                    <w:rFonts w:ascii="Segoe UI Symbol" w:eastAsia="Calibri" w:hAnsi="Segoe UI Symbol" w:cs="Segoe UI Symbol"/>
                    <w:bCs/>
                    <w:iCs/>
                    <w:sz w:val="20"/>
                    <w:szCs w:val="20"/>
                    <w:lang w:val="en-US"/>
                  </w:rPr>
                  <w:t>☐</w:t>
                </w:r>
              </w:sdtContent>
            </w:sdt>
          </w:p>
        </w:tc>
      </w:tr>
      <w:tr w:rsidR="009F54F1" w:rsidRPr="006B7572" w:rsidTr="00042885">
        <w:tblPrEx>
          <w:jc w:val="left"/>
        </w:tblPrEx>
        <w:trPr>
          <w:gridAfter w:val="1"/>
          <w:wAfter w:w="34" w:type="dxa"/>
          <w:trHeight w:val="677"/>
        </w:trPr>
        <w:tc>
          <w:tcPr>
            <w:tcW w:w="2405" w:type="dxa"/>
            <w:shd w:val="clear" w:color="auto" w:fill="F2F2F2" w:themeFill="background1" w:themeFillShade="F2"/>
            <w:vAlign w:val="center"/>
          </w:tcPr>
          <w:p w:rsidR="009F54F1" w:rsidRPr="006B7572" w:rsidRDefault="009F54F1" w:rsidP="00B50C6D">
            <w:pPr>
              <w:tabs>
                <w:tab w:val="left" w:pos="338"/>
              </w:tabs>
              <w:spacing w:after="0" w:line="276" w:lineRule="auto"/>
              <w:contextualSpacing/>
              <w:rPr>
                <w:rFonts w:ascii="Arial" w:eastAsia="Calibri" w:hAnsi="Arial" w:cs="Arial"/>
                <w:bCs/>
                <w:iCs/>
                <w:sz w:val="20"/>
                <w:szCs w:val="20"/>
                <w:lang w:val="en-US"/>
              </w:rPr>
            </w:pPr>
            <w:r w:rsidRPr="006B7572">
              <w:rPr>
                <w:rFonts w:ascii="Arial" w:eastAsia="Calibri" w:hAnsi="Arial" w:cs="Arial"/>
                <w:sz w:val="20"/>
                <w:szCs w:val="20"/>
                <w:lang w:val="en-US"/>
              </w:rPr>
              <w:lastRenderedPageBreak/>
              <w:t>Program reviews and/or evaluations</w:t>
            </w:r>
          </w:p>
        </w:tc>
        <w:tc>
          <w:tcPr>
            <w:tcW w:w="4406" w:type="dxa"/>
          </w:tcPr>
          <w:p w:rsidR="009F54F1" w:rsidRDefault="00513F8F" w:rsidP="002D5F29">
            <w:pPr>
              <w:tabs>
                <w:tab w:val="left" w:pos="338"/>
              </w:tabs>
              <w:spacing w:after="0" w:line="276" w:lineRule="auto"/>
              <w:contextualSpacing/>
              <w:rPr>
                <w:rFonts w:ascii="Arial" w:eastAsia="Calibri" w:hAnsi="Arial" w:cs="Arial"/>
                <w:bCs/>
                <w:iCs/>
                <w:sz w:val="20"/>
                <w:szCs w:val="20"/>
                <w:lang w:val="en-US"/>
              </w:rPr>
            </w:pPr>
            <w:r>
              <w:rPr>
                <w:rFonts w:ascii="Arial" w:eastAsia="Calibri" w:hAnsi="Arial" w:cs="Arial"/>
                <w:bCs/>
                <w:iCs/>
                <w:sz w:val="20"/>
                <w:szCs w:val="20"/>
                <w:lang w:val="en-US"/>
              </w:rPr>
              <w:t xml:space="preserve">‘Joint Monitoring Mission 3 </w:t>
            </w:r>
            <w:r w:rsidR="00784569">
              <w:rPr>
                <w:rFonts w:ascii="Arial" w:eastAsia="Calibri" w:hAnsi="Arial" w:cs="Arial"/>
                <w:bCs/>
                <w:iCs/>
                <w:sz w:val="20"/>
                <w:szCs w:val="20"/>
                <w:lang w:val="en-US"/>
              </w:rPr>
              <w:t xml:space="preserve">(JMM3) </w:t>
            </w:r>
            <w:r>
              <w:rPr>
                <w:rFonts w:ascii="Arial" w:eastAsia="Calibri" w:hAnsi="Arial" w:cs="Arial"/>
                <w:bCs/>
                <w:iCs/>
                <w:sz w:val="20"/>
                <w:szCs w:val="20"/>
                <w:lang w:val="en-US"/>
              </w:rPr>
              <w:t>of National Malaria Control Programme Bangladesh’ 19 December 2016.</w:t>
            </w:r>
          </w:p>
          <w:p w:rsidR="002D5F29" w:rsidRPr="006B7572" w:rsidRDefault="002235FA" w:rsidP="002235FA">
            <w:pPr>
              <w:tabs>
                <w:tab w:val="left" w:pos="338"/>
              </w:tabs>
              <w:spacing w:after="0" w:line="276" w:lineRule="auto"/>
              <w:contextualSpacing/>
              <w:rPr>
                <w:rFonts w:ascii="Arial" w:eastAsia="Calibri" w:hAnsi="Arial" w:cs="Arial"/>
                <w:bCs/>
                <w:iCs/>
                <w:sz w:val="20"/>
                <w:szCs w:val="20"/>
                <w:lang w:val="en-US"/>
              </w:rPr>
            </w:pPr>
            <w:r>
              <w:rPr>
                <w:rFonts w:ascii="Arial" w:eastAsia="Calibri" w:hAnsi="Arial" w:cs="Arial"/>
                <w:bCs/>
                <w:iCs/>
                <w:sz w:val="20"/>
                <w:szCs w:val="20"/>
                <w:lang w:val="en-US"/>
              </w:rPr>
              <w:t>JMM</w:t>
            </w:r>
            <w:r w:rsidR="002D5F29" w:rsidRPr="002D5F29">
              <w:rPr>
                <w:rFonts w:ascii="Arial" w:eastAsia="Calibri" w:hAnsi="Arial" w:cs="Arial"/>
                <w:bCs/>
                <w:iCs/>
                <w:sz w:val="20"/>
                <w:szCs w:val="20"/>
                <w:lang w:val="en-US"/>
              </w:rPr>
              <w:t>3</w:t>
            </w:r>
            <w:r w:rsidR="002D5F29">
              <w:rPr>
                <w:rFonts w:ascii="Arial" w:eastAsia="Calibri" w:hAnsi="Arial" w:cs="Arial"/>
                <w:bCs/>
                <w:iCs/>
                <w:sz w:val="20"/>
                <w:szCs w:val="20"/>
                <w:lang w:val="en-US"/>
              </w:rPr>
              <w:t xml:space="preserve"> - Power</w:t>
            </w:r>
            <w:r>
              <w:rPr>
                <w:rFonts w:ascii="Arial" w:eastAsia="Calibri" w:hAnsi="Arial" w:cs="Arial"/>
                <w:bCs/>
                <w:iCs/>
                <w:sz w:val="20"/>
                <w:szCs w:val="20"/>
                <w:lang w:val="en-US"/>
              </w:rPr>
              <w:t>P</w:t>
            </w:r>
            <w:r w:rsidR="002D5F29">
              <w:rPr>
                <w:rFonts w:ascii="Arial" w:eastAsia="Calibri" w:hAnsi="Arial" w:cs="Arial"/>
                <w:bCs/>
                <w:iCs/>
                <w:sz w:val="20"/>
                <w:szCs w:val="20"/>
                <w:lang w:val="en-US"/>
              </w:rPr>
              <w:t>oint presentation - 5 December 2016.</w:t>
            </w:r>
          </w:p>
        </w:tc>
        <w:tc>
          <w:tcPr>
            <w:tcW w:w="1406" w:type="dxa"/>
            <w:vAlign w:val="center"/>
          </w:tcPr>
          <w:p w:rsidR="009F54F1" w:rsidRDefault="00513F8F" w:rsidP="00B50C6D">
            <w:pPr>
              <w:spacing w:after="0" w:line="276" w:lineRule="auto"/>
              <w:jc w:val="center"/>
              <w:rPr>
                <w:rFonts w:ascii="Arial" w:eastAsia="Calibri" w:hAnsi="Arial" w:cs="Arial"/>
                <w:bCs/>
                <w:iCs/>
                <w:sz w:val="20"/>
                <w:szCs w:val="20"/>
                <w:lang w:val="en-US"/>
              </w:rPr>
            </w:pPr>
            <w:r>
              <w:rPr>
                <w:rFonts w:ascii="Arial" w:eastAsia="Calibri" w:hAnsi="Arial" w:cs="Arial"/>
                <w:bCs/>
                <w:iCs/>
                <w:sz w:val="20"/>
                <w:szCs w:val="20"/>
                <w:lang w:val="en-US"/>
              </w:rPr>
              <w:t>Complete document</w:t>
            </w:r>
          </w:p>
          <w:p w:rsidR="002235FA" w:rsidRDefault="002235FA" w:rsidP="00B50C6D">
            <w:pPr>
              <w:spacing w:after="0" w:line="276" w:lineRule="auto"/>
              <w:jc w:val="center"/>
              <w:rPr>
                <w:rFonts w:ascii="Arial" w:eastAsia="Calibri" w:hAnsi="Arial" w:cs="Arial"/>
                <w:bCs/>
                <w:iCs/>
                <w:sz w:val="20"/>
                <w:szCs w:val="20"/>
                <w:lang w:val="en-US"/>
              </w:rPr>
            </w:pPr>
          </w:p>
          <w:p w:rsidR="002235FA" w:rsidRPr="006B7572" w:rsidRDefault="002235FA" w:rsidP="00B50C6D">
            <w:pPr>
              <w:spacing w:after="0" w:line="276" w:lineRule="auto"/>
              <w:jc w:val="center"/>
              <w:rPr>
                <w:rFonts w:ascii="Arial" w:eastAsia="Calibri" w:hAnsi="Arial" w:cs="Arial"/>
                <w:bCs/>
                <w:iCs/>
                <w:sz w:val="20"/>
                <w:szCs w:val="20"/>
                <w:lang w:val="en-US"/>
              </w:rPr>
            </w:pPr>
            <w:r>
              <w:rPr>
                <w:rFonts w:ascii="Arial" w:eastAsia="Calibri" w:hAnsi="Arial" w:cs="Arial"/>
                <w:bCs/>
                <w:iCs/>
                <w:sz w:val="20"/>
                <w:szCs w:val="20"/>
                <w:lang w:val="en-US"/>
              </w:rPr>
              <w:t>Slides 34-63</w:t>
            </w:r>
          </w:p>
        </w:tc>
        <w:tc>
          <w:tcPr>
            <w:tcW w:w="850" w:type="dxa"/>
            <w:vAlign w:val="center"/>
          </w:tcPr>
          <w:p w:rsidR="009F54F1" w:rsidRPr="006B7572" w:rsidRDefault="00817B52" w:rsidP="00B50C6D">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1515295290"/>
              </w:sdtPr>
              <w:sdtContent>
                <w:r w:rsidR="009F54F1" w:rsidRPr="006B7572">
                  <w:rPr>
                    <w:rFonts w:ascii="Segoe UI Symbol" w:eastAsia="Calibri" w:hAnsi="Segoe UI Symbol" w:cs="Segoe UI Symbol"/>
                    <w:bCs/>
                    <w:iCs/>
                    <w:sz w:val="20"/>
                    <w:szCs w:val="20"/>
                    <w:lang w:val="en-US"/>
                  </w:rPr>
                  <w:t>☐</w:t>
                </w:r>
              </w:sdtContent>
            </w:sdt>
          </w:p>
        </w:tc>
      </w:tr>
      <w:tr w:rsidR="009F54F1" w:rsidRPr="006B7572" w:rsidTr="00042885">
        <w:tblPrEx>
          <w:jc w:val="left"/>
        </w:tblPrEx>
        <w:trPr>
          <w:gridAfter w:val="1"/>
          <w:wAfter w:w="34" w:type="dxa"/>
          <w:trHeight w:val="677"/>
        </w:trPr>
        <w:tc>
          <w:tcPr>
            <w:tcW w:w="2405" w:type="dxa"/>
            <w:shd w:val="clear" w:color="auto" w:fill="F2F2F2" w:themeFill="background1" w:themeFillShade="F2"/>
            <w:vAlign w:val="center"/>
          </w:tcPr>
          <w:p w:rsidR="009F54F1" w:rsidRPr="006B7572" w:rsidRDefault="009F54F1" w:rsidP="00B50C6D">
            <w:pPr>
              <w:tabs>
                <w:tab w:val="left" w:pos="338"/>
              </w:tabs>
              <w:spacing w:after="0" w:line="276" w:lineRule="auto"/>
              <w:contextualSpacing/>
              <w:rPr>
                <w:rFonts w:ascii="Arial" w:eastAsia="Calibri" w:hAnsi="Arial" w:cs="Arial"/>
                <w:sz w:val="20"/>
                <w:szCs w:val="20"/>
                <w:lang w:val="en-US"/>
              </w:rPr>
            </w:pPr>
            <w:r w:rsidRPr="006B7572">
              <w:rPr>
                <w:rFonts w:ascii="Arial" w:eastAsia="Calibri" w:hAnsi="Arial" w:cs="Arial"/>
                <w:sz w:val="20"/>
                <w:szCs w:val="20"/>
                <w:lang w:val="en-US"/>
              </w:rPr>
              <w:t>Human rights and gender considerations (disease-specific)</w:t>
            </w:r>
          </w:p>
        </w:tc>
        <w:tc>
          <w:tcPr>
            <w:tcW w:w="4406" w:type="dxa"/>
          </w:tcPr>
          <w:p w:rsidR="009F54F1" w:rsidRPr="002D14E1" w:rsidRDefault="002D14E1" w:rsidP="002D5F29">
            <w:pPr>
              <w:tabs>
                <w:tab w:val="left" w:pos="338"/>
              </w:tabs>
              <w:spacing w:after="0" w:line="276" w:lineRule="auto"/>
              <w:contextualSpacing/>
              <w:rPr>
                <w:rFonts w:ascii="Arial" w:eastAsia="Calibri" w:hAnsi="Arial" w:cs="Arial"/>
                <w:b/>
                <w:bCs/>
                <w:iCs/>
                <w:sz w:val="20"/>
                <w:szCs w:val="20"/>
                <w:lang w:val="en-US"/>
              </w:rPr>
            </w:pPr>
            <w:r w:rsidRPr="00513F8F">
              <w:rPr>
                <w:rFonts w:ascii="Arial" w:eastAsia="Calibri" w:hAnsi="Arial" w:cs="Arial"/>
                <w:bCs/>
                <w:iCs/>
                <w:sz w:val="20"/>
                <w:szCs w:val="20"/>
                <w:lang w:val="en-US"/>
              </w:rPr>
              <w:t>National Strategic Plan for Malaria Elimination -</w:t>
            </w:r>
            <w:r w:rsidRPr="00513F8F">
              <w:rPr>
                <w:rFonts w:ascii="Arial" w:eastAsia="Calibri" w:hAnsi="Arial" w:cs="Arial"/>
                <w:bCs/>
                <w:i/>
                <w:iCs/>
                <w:sz w:val="20"/>
                <w:szCs w:val="20"/>
              </w:rPr>
              <w:t>A path to the phased elimination of malaria from Bangladesh</w:t>
            </w:r>
            <w:r>
              <w:rPr>
                <w:rFonts w:ascii="Arial" w:eastAsia="Calibri" w:hAnsi="Arial" w:cs="Arial"/>
                <w:bCs/>
                <w:i/>
                <w:iCs/>
                <w:sz w:val="20"/>
                <w:szCs w:val="20"/>
              </w:rPr>
              <w:t xml:space="preserve">, 2017-2021, </w:t>
            </w:r>
            <w:r w:rsidRPr="00513F8F">
              <w:rPr>
                <w:rFonts w:ascii="Arial" w:eastAsia="Calibri" w:hAnsi="Arial" w:cs="Arial"/>
                <w:bCs/>
                <w:iCs/>
                <w:sz w:val="20"/>
                <w:szCs w:val="20"/>
              </w:rPr>
              <w:t>19 January 2017.</w:t>
            </w:r>
          </w:p>
        </w:tc>
        <w:tc>
          <w:tcPr>
            <w:tcW w:w="1406" w:type="dxa"/>
            <w:vAlign w:val="center"/>
          </w:tcPr>
          <w:p w:rsidR="009F54F1" w:rsidRPr="006B7572" w:rsidRDefault="002D14E1" w:rsidP="00B50C6D">
            <w:pPr>
              <w:spacing w:after="0" w:line="276" w:lineRule="auto"/>
              <w:jc w:val="center"/>
              <w:rPr>
                <w:rFonts w:ascii="Arial" w:eastAsia="Calibri" w:hAnsi="Arial" w:cs="Arial"/>
                <w:bCs/>
                <w:iCs/>
                <w:sz w:val="20"/>
                <w:szCs w:val="20"/>
                <w:lang w:val="en-US"/>
              </w:rPr>
            </w:pPr>
            <w:r>
              <w:rPr>
                <w:rFonts w:ascii="Arial" w:eastAsia="Calibri" w:hAnsi="Arial" w:cs="Arial"/>
                <w:bCs/>
                <w:iCs/>
                <w:sz w:val="20"/>
                <w:szCs w:val="20"/>
                <w:lang w:val="en-US"/>
              </w:rPr>
              <w:t>P 20-21</w:t>
            </w:r>
          </w:p>
        </w:tc>
        <w:tc>
          <w:tcPr>
            <w:tcW w:w="850" w:type="dxa"/>
            <w:vAlign w:val="center"/>
          </w:tcPr>
          <w:p w:rsidR="009F54F1" w:rsidRPr="006B7572" w:rsidRDefault="00817B52" w:rsidP="00B50C6D">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1606494358"/>
              </w:sdtPr>
              <w:sdtContent>
                <w:r w:rsidR="009F54F1" w:rsidRPr="006B7572">
                  <w:rPr>
                    <w:rFonts w:ascii="Segoe UI Symbol" w:eastAsia="Calibri" w:hAnsi="Segoe UI Symbol" w:cs="Segoe UI Symbol"/>
                    <w:bCs/>
                    <w:iCs/>
                    <w:sz w:val="20"/>
                    <w:szCs w:val="20"/>
                    <w:lang w:val="en-US"/>
                  </w:rPr>
                  <w:t>☐</w:t>
                </w:r>
              </w:sdtContent>
            </w:sdt>
          </w:p>
        </w:tc>
      </w:tr>
      <w:tr w:rsidR="00B50C6D" w:rsidRPr="006B7572" w:rsidTr="00FE411C">
        <w:tblPrEx>
          <w:jc w:val="left"/>
        </w:tblPrEx>
        <w:trPr>
          <w:gridAfter w:val="1"/>
          <w:wAfter w:w="34" w:type="dxa"/>
          <w:trHeight w:val="529"/>
        </w:trPr>
        <w:tc>
          <w:tcPr>
            <w:tcW w:w="9067" w:type="dxa"/>
            <w:gridSpan w:val="4"/>
            <w:vAlign w:val="center"/>
          </w:tcPr>
          <w:p w:rsidR="00B50C6D" w:rsidRPr="006B7572" w:rsidRDefault="00B50C6D" w:rsidP="00B50C6D">
            <w:pPr>
              <w:spacing w:after="0" w:line="240" w:lineRule="auto"/>
              <w:rPr>
                <w:rFonts w:ascii="Arial" w:eastAsia="Calibri" w:hAnsi="Arial" w:cs="Arial"/>
                <w:bCs/>
                <w:iCs/>
                <w:sz w:val="20"/>
                <w:szCs w:val="20"/>
                <w:lang w:val="en-US"/>
              </w:rPr>
            </w:pPr>
            <w:r w:rsidRPr="006B7572">
              <w:rPr>
                <w:rFonts w:ascii="Arial" w:eastAsia="Calibri" w:hAnsi="Arial" w:cs="Arial"/>
                <w:bCs/>
                <w:i/>
                <w:iCs/>
                <w:sz w:val="20"/>
                <w:szCs w:val="20"/>
                <w:lang w:val="en-US"/>
              </w:rPr>
              <w:t xml:space="preserve">Add rows as relevant, for any additional key area as relevant to the funding request </w:t>
            </w:r>
          </w:p>
        </w:tc>
      </w:tr>
    </w:tbl>
    <w:p w:rsidR="00042DCA" w:rsidRPr="006B7572" w:rsidRDefault="00042DCA">
      <w:pPr>
        <w:rPr>
          <w:rFonts w:ascii="Arial" w:hAnsi="Arial" w:cs="Arial"/>
          <w:sz w:val="20"/>
          <w:szCs w:val="20"/>
        </w:rPr>
      </w:pPr>
    </w:p>
    <w:p w:rsidR="00EF6E79" w:rsidRPr="006B7572" w:rsidRDefault="00EF6E79">
      <w:pPr>
        <w:rPr>
          <w:rFonts w:ascii="Arial" w:hAnsi="Arial" w:cs="Arial"/>
          <w:sz w:val="20"/>
          <w:szCs w:val="20"/>
        </w:rPr>
      </w:pPr>
    </w:p>
    <w:p w:rsidR="00AB3764" w:rsidRPr="006B7572" w:rsidRDefault="00AB3764">
      <w:pPr>
        <w:rPr>
          <w:rFonts w:ascii="Arial" w:hAnsi="Arial" w:cs="Arial"/>
          <w:sz w:val="20"/>
          <w:szCs w:val="20"/>
        </w:rPr>
      </w:pPr>
    </w:p>
    <w:p w:rsidR="00FE411C" w:rsidRPr="006B7572" w:rsidRDefault="00FE411C">
      <w:pPr>
        <w:rPr>
          <w:rFonts w:ascii="Arial" w:hAnsi="Arial" w:cs="Arial"/>
          <w:sz w:val="20"/>
          <w:szCs w:val="20"/>
        </w:rPr>
      </w:pPr>
      <w:r w:rsidRPr="006B7572">
        <w:rPr>
          <w:rFonts w:ascii="Arial" w:hAnsi="Arial" w:cs="Arial"/>
          <w:sz w:val="20"/>
          <w:szCs w:val="20"/>
        </w:rPr>
        <w:br w:type="page"/>
      </w:r>
    </w:p>
    <w:tbl>
      <w:tblPr>
        <w:tblW w:w="906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9067"/>
      </w:tblGrid>
      <w:tr w:rsidR="00042DCA" w:rsidRPr="006B7572" w:rsidTr="00FE411C">
        <w:trPr>
          <w:trHeight w:val="448"/>
          <w:jc w:val="center"/>
        </w:trPr>
        <w:tc>
          <w:tcPr>
            <w:tcW w:w="9067" w:type="dxa"/>
            <w:shd w:val="clear" w:color="auto" w:fill="C6D9F1"/>
            <w:vAlign w:val="center"/>
          </w:tcPr>
          <w:p w:rsidR="00042DCA" w:rsidRPr="006B7572" w:rsidRDefault="00042DCA" w:rsidP="00CC0842">
            <w:pPr>
              <w:spacing w:after="0" w:line="276" w:lineRule="auto"/>
              <w:rPr>
                <w:rFonts w:ascii="Arial" w:eastAsia="Calibri" w:hAnsi="Arial" w:cs="Arial"/>
                <w:sz w:val="20"/>
                <w:szCs w:val="20"/>
                <w:lang w:val="en-US"/>
              </w:rPr>
            </w:pPr>
            <w:r w:rsidRPr="006B7572">
              <w:rPr>
                <w:rFonts w:ascii="Arial" w:eastAsia="Calibri" w:hAnsi="Arial" w:cs="Arial"/>
                <w:b/>
                <w:bCs/>
                <w:sz w:val="20"/>
                <w:szCs w:val="20"/>
                <w:lang w:val="en-US"/>
              </w:rPr>
              <w:lastRenderedPageBreak/>
              <w:t>1</w:t>
            </w:r>
            <w:r w:rsidRPr="00B555E1">
              <w:rPr>
                <w:rFonts w:ascii="Arial" w:eastAsia="Calibri" w:hAnsi="Arial" w:cs="Arial"/>
                <w:b/>
                <w:bCs/>
                <w:sz w:val="20"/>
                <w:szCs w:val="20"/>
                <w:shd w:val="clear" w:color="auto" w:fill="C6D9F1"/>
                <w:lang w:val="en-US"/>
              </w:rPr>
              <w:t>.2 Summary of country context</w:t>
            </w:r>
          </w:p>
        </w:tc>
      </w:tr>
      <w:tr w:rsidR="00042DCA" w:rsidRPr="006B7572" w:rsidTr="00FE411C">
        <w:trPr>
          <w:trHeight w:val="1790"/>
          <w:jc w:val="center"/>
        </w:trPr>
        <w:tc>
          <w:tcPr>
            <w:tcW w:w="9067" w:type="dxa"/>
            <w:shd w:val="clear" w:color="auto" w:fill="F2F2F2" w:themeFill="background1" w:themeFillShade="F2"/>
            <w:vAlign w:val="center"/>
          </w:tcPr>
          <w:p w:rsidR="00F57EBD" w:rsidRPr="006B7572" w:rsidRDefault="00F57EBD" w:rsidP="00AB3764">
            <w:pPr>
              <w:spacing w:after="200" w:line="276" w:lineRule="auto"/>
              <w:jc w:val="both"/>
              <w:rPr>
                <w:rFonts w:ascii="Arial" w:eastAsia="Calibri" w:hAnsi="Arial" w:cs="Arial"/>
                <w:sz w:val="20"/>
                <w:szCs w:val="20"/>
                <w:lang w:val="en-US"/>
              </w:rPr>
            </w:pPr>
            <w:r w:rsidRPr="006B7572">
              <w:rPr>
                <w:rFonts w:ascii="Arial" w:eastAsia="Calibri" w:hAnsi="Arial" w:cs="Arial"/>
                <w:sz w:val="20"/>
                <w:szCs w:val="20"/>
                <w:lang w:val="en-US"/>
              </w:rPr>
              <w:t xml:space="preserve">To complement the reference documents listed in Section 1.1 above, provide a summary of the critical elements within the context that informed the development of the funding request. The brief description of the context should cover disease-specific </w:t>
            </w:r>
            <w:r w:rsidRPr="004C0526">
              <w:rPr>
                <w:rFonts w:ascii="Arial" w:eastAsia="Calibri" w:hAnsi="Arial" w:cs="Arial"/>
                <w:sz w:val="20"/>
                <w:szCs w:val="20"/>
                <w:lang w:val="en-US"/>
              </w:rPr>
              <w:t>and RSSH</w:t>
            </w:r>
            <w:r w:rsidRPr="006B7572">
              <w:rPr>
                <w:rFonts w:ascii="Arial" w:eastAsia="Calibri" w:hAnsi="Arial" w:cs="Arial"/>
                <w:sz w:val="20"/>
                <w:szCs w:val="20"/>
                <w:lang w:val="en-US"/>
              </w:rPr>
              <w:t xml:space="preserve"> components, as appropriate</w:t>
            </w:r>
            <w:r w:rsidR="001824E8" w:rsidRPr="006B7572">
              <w:rPr>
                <w:rFonts w:ascii="Arial" w:eastAsia="Calibri" w:hAnsi="Arial" w:cs="Arial"/>
                <w:sz w:val="20"/>
                <w:szCs w:val="20"/>
                <w:lang w:val="en-US"/>
              </w:rPr>
              <w:t>, as well as human righ</w:t>
            </w:r>
            <w:r w:rsidR="007B548A" w:rsidRPr="006B7572">
              <w:rPr>
                <w:rFonts w:ascii="Arial" w:eastAsia="Calibri" w:hAnsi="Arial" w:cs="Arial"/>
                <w:sz w:val="20"/>
                <w:szCs w:val="20"/>
                <w:lang w:val="en-US"/>
              </w:rPr>
              <w:t>ts and gender-related considerations</w:t>
            </w:r>
            <w:r w:rsidRPr="006B7572">
              <w:rPr>
                <w:rFonts w:ascii="Arial" w:eastAsia="Calibri" w:hAnsi="Arial" w:cs="Arial"/>
                <w:sz w:val="20"/>
                <w:szCs w:val="20"/>
                <w:lang w:val="en-US"/>
              </w:rPr>
              <w:t>.</w:t>
            </w:r>
          </w:p>
          <w:p w:rsidR="00042DCA" w:rsidRPr="006B7572" w:rsidRDefault="001631BD" w:rsidP="00142F1D">
            <w:pPr>
              <w:spacing w:after="0"/>
              <w:rPr>
                <w:rFonts w:ascii="Arial" w:eastAsia="Calibri" w:hAnsi="Arial" w:cs="Arial"/>
                <w:sz w:val="20"/>
                <w:szCs w:val="20"/>
                <w:lang w:val="fr-CH"/>
              </w:rPr>
            </w:pPr>
            <w:r w:rsidRPr="006B7572">
              <w:rPr>
                <w:rFonts w:ascii="Arial" w:eastAsia="Calibri" w:hAnsi="Arial" w:cs="Arial"/>
                <w:b/>
                <w:bCs/>
                <w:sz w:val="20"/>
                <w:szCs w:val="20"/>
                <w:lang w:val="en-US"/>
              </w:rPr>
              <w:t>(maximum</w:t>
            </w:r>
            <w:r w:rsidR="00042DCA" w:rsidRPr="006B7572">
              <w:rPr>
                <w:rFonts w:ascii="Arial" w:eastAsia="Calibri" w:hAnsi="Arial" w:cs="Arial"/>
                <w:b/>
                <w:bCs/>
                <w:sz w:val="20"/>
                <w:szCs w:val="20"/>
                <w:lang w:val="en-US"/>
              </w:rPr>
              <w:t xml:space="preserve"> 2 </w:t>
            </w:r>
            <w:r w:rsidR="005A62F6" w:rsidRPr="006B7572">
              <w:rPr>
                <w:rFonts w:ascii="Arial" w:eastAsia="Calibri" w:hAnsi="Arial" w:cs="Arial"/>
                <w:b/>
                <w:bCs/>
                <w:sz w:val="20"/>
                <w:szCs w:val="20"/>
                <w:lang w:val="en-US"/>
              </w:rPr>
              <w:t>pages</w:t>
            </w:r>
            <w:r w:rsidR="00042DCA" w:rsidRPr="006B7572">
              <w:rPr>
                <w:rFonts w:ascii="Arial" w:eastAsia="Calibri" w:hAnsi="Arial" w:cs="Arial"/>
                <w:b/>
                <w:bCs/>
                <w:sz w:val="20"/>
                <w:szCs w:val="20"/>
                <w:lang w:val="en-US"/>
              </w:rPr>
              <w:t xml:space="preserve"> per component)</w:t>
            </w:r>
          </w:p>
        </w:tc>
      </w:tr>
    </w:tbl>
    <w:p w:rsidR="00042DCA" w:rsidRPr="006B7572" w:rsidRDefault="00042DCA" w:rsidP="00042DCA">
      <w:pPr>
        <w:spacing w:after="0"/>
        <w:rPr>
          <w:rFonts w:ascii="Arial" w:hAnsi="Arial" w:cs="Arial"/>
          <w:sz w:val="20"/>
          <w:szCs w:val="20"/>
          <w:lang w:val="fr-CH"/>
        </w:rPr>
      </w:pPr>
    </w:p>
    <w:p w:rsidR="00C91073" w:rsidRPr="00D9024F" w:rsidRDefault="00C91073" w:rsidP="00C91073">
      <w:pPr>
        <w:spacing w:after="120"/>
        <w:rPr>
          <w:rFonts w:ascii="Arial" w:hAnsi="Arial" w:cs="Arial"/>
          <w:sz w:val="20"/>
          <w:szCs w:val="20"/>
        </w:rPr>
      </w:pPr>
      <w:r w:rsidRPr="00D9024F">
        <w:rPr>
          <w:rFonts w:ascii="Arial" w:hAnsi="Arial" w:cs="Arial"/>
          <w:bCs/>
          <w:sz w:val="20"/>
          <w:szCs w:val="20"/>
          <w:lang w:val="en-US"/>
        </w:rPr>
        <w:t>In the past decade,</w:t>
      </w:r>
      <w:r w:rsidRPr="00D9024F">
        <w:rPr>
          <w:rFonts w:ascii="Arial" w:hAnsi="Arial" w:cs="Arial"/>
          <w:sz w:val="20"/>
          <w:szCs w:val="20"/>
          <w:lang w:val="en-US"/>
        </w:rPr>
        <w:t xml:space="preserve"> Bangladesh has made significant progress in reducing malaria morbidity and mortality.</w:t>
      </w:r>
      <w:r w:rsidRPr="00D9024F">
        <w:rPr>
          <w:rFonts w:ascii="Arial" w:hAnsi="Arial" w:cs="Arial"/>
          <w:sz w:val="20"/>
          <w:szCs w:val="20"/>
        </w:rPr>
        <w:t xml:space="preserve"> Since 2008, malaria burden had been declining each year, but in 2014 there was an upsurge in the Chittagong Hill Tracts (CHT), which saw overall falciparum caseload increase by 109% relative to the previous year. Annual caseload has again been falling since 2014, but it has not yet reached the low levels of 2013. The number of malaria deaths dropped by 79% between 2007 and 2009 (down from 228 to 47) </w:t>
      </w:r>
      <w:r w:rsidRPr="00D9024F">
        <w:rPr>
          <w:rFonts w:ascii="Arial" w:hAnsi="Arial" w:cs="Arial"/>
          <w:sz w:val="20"/>
          <w:szCs w:val="20"/>
          <w:lang w:val="en-US"/>
        </w:rPr>
        <w:t>reflecting major improvements in access to early diagnosis and appropriate treatment.</w:t>
      </w:r>
      <w:r w:rsidRPr="00D9024F">
        <w:rPr>
          <w:rFonts w:ascii="Arial" w:hAnsi="Arial" w:cs="Arial"/>
          <w:sz w:val="20"/>
          <w:szCs w:val="20"/>
        </w:rPr>
        <w:t xml:space="preserve"> Since then there have been an average of 26 deaths per year. </w:t>
      </w:r>
      <w:r w:rsidRPr="00D9024F">
        <w:rPr>
          <w:rFonts w:ascii="Arial" w:hAnsi="Arial" w:cs="Arial"/>
          <w:sz w:val="20"/>
          <w:szCs w:val="20"/>
          <w:lang w:val="en-US"/>
        </w:rPr>
        <w:t xml:space="preserve">Despite these recent advances, malaria remains an important cause of morbidity and a cause of </w:t>
      </w:r>
      <w:r w:rsidR="00EC6194">
        <w:rPr>
          <w:rFonts w:ascii="Arial" w:hAnsi="Arial" w:cs="Arial"/>
          <w:sz w:val="20"/>
          <w:szCs w:val="20"/>
          <w:lang w:val="en-US"/>
        </w:rPr>
        <w:t xml:space="preserve">limited </w:t>
      </w:r>
      <w:r w:rsidRPr="00D9024F">
        <w:rPr>
          <w:rFonts w:ascii="Arial" w:hAnsi="Arial" w:cs="Arial"/>
          <w:sz w:val="20"/>
          <w:szCs w:val="20"/>
          <w:lang w:val="en-US"/>
        </w:rPr>
        <w:t xml:space="preserve">mortality </w:t>
      </w:r>
      <w:r w:rsidRPr="00D9024F">
        <w:rPr>
          <w:rFonts w:ascii="Arial" w:hAnsi="Arial" w:cs="Arial"/>
          <w:bCs/>
          <w:sz w:val="20"/>
          <w:szCs w:val="20"/>
          <w:lang w:val="en-US"/>
        </w:rPr>
        <w:t xml:space="preserve">in Bangladesh, particularly </w:t>
      </w:r>
      <w:r w:rsidR="00957774" w:rsidRPr="00D9024F">
        <w:rPr>
          <w:rFonts w:ascii="Arial" w:hAnsi="Arial" w:cs="Arial"/>
          <w:bCs/>
          <w:sz w:val="20"/>
          <w:szCs w:val="20"/>
          <w:lang w:val="en-US"/>
        </w:rPr>
        <w:t>in the event of anupsurge</w:t>
      </w:r>
      <w:r w:rsidRPr="00D9024F">
        <w:rPr>
          <w:rFonts w:ascii="Arial" w:hAnsi="Arial" w:cs="Arial"/>
          <w:bCs/>
          <w:sz w:val="20"/>
          <w:szCs w:val="20"/>
          <w:lang w:val="en-US"/>
        </w:rPr>
        <w:t xml:space="preserve">. </w:t>
      </w:r>
    </w:p>
    <w:p w:rsidR="00C91073" w:rsidRPr="00D9024F" w:rsidRDefault="00C91073" w:rsidP="00C91073">
      <w:pPr>
        <w:spacing w:after="120"/>
        <w:rPr>
          <w:rFonts w:ascii="Arial" w:hAnsi="Arial" w:cs="Arial"/>
          <w:b/>
          <w:i/>
          <w:sz w:val="20"/>
          <w:szCs w:val="20"/>
          <w:lang w:val="en-US"/>
        </w:rPr>
      </w:pPr>
      <w:r w:rsidRPr="00D9024F">
        <w:rPr>
          <w:rFonts w:ascii="Arial" w:hAnsi="Arial" w:cs="Arial"/>
          <w:sz w:val="20"/>
          <w:szCs w:val="20"/>
        </w:rPr>
        <w:t>Over the next five years Bangladesh aims to eliminate malaria in less endemic areas, while accelerating control efforts in more endemic areas to reduce cases to a low level. Post 2021</w:t>
      </w:r>
      <w:r w:rsidRPr="00D9024F">
        <w:rPr>
          <w:rFonts w:ascii="Arial" w:hAnsi="Arial" w:cs="Arial"/>
          <w:bCs/>
          <w:sz w:val="20"/>
          <w:szCs w:val="20"/>
        </w:rPr>
        <w:t>, it is expected that</w:t>
      </w:r>
      <w:r w:rsidRPr="00D9024F">
        <w:rPr>
          <w:rFonts w:ascii="Arial" w:hAnsi="Arial" w:cs="Arial"/>
          <w:sz w:val="20"/>
          <w:szCs w:val="20"/>
        </w:rPr>
        <w:t xml:space="preserve"> all areas will either be targeted for elimination, or for prevention of reintroduction, so thatby 2030 Bangladesh will be malaria free. The timelines and geographic targets for elimination are presented in Figure 9 and 10 of the NSP. </w:t>
      </w:r>
      <w:r w:rsidRPr="00D9024F">
        <w:rPr>
          <w:rFonts w:ascii="Arial" w:hAnsi="Arial" w:cs="Arial"/>
          <w:sz w:val="20"/>
          <w:szCs w:val="20"/>
          <w:lang w:val="en-US"/>
        </w:rPr>
        <w:t xml:space="preserve">The strategy is in-line with both the </w:t>
      </w:r>
      <w:r w:rsidRPr="00D9024F">
        <w:rPr>
          <w:rFonts w:ascii="Arial" w:hAnsi="Arial" w:cs="Arial"/>
          <w:i/>
          <w:sz w:val="20"/>
          <w:szCs w:val="20"/>
        </w:rPr>
        <w:t>Strategy for Malaria Elimination in the South East Asia Region (2017–2030)</w:t>
      </w:r>
      <w:r w:rsidRPr="00D9024F">
        <w:rPr>
          <w:rFonts w:ascii="Arial" w:hAnsi="Arial" w:cs="Arial"/>
          <w:sz w:val="20"/>
          <w:szCs w:val="20"/>
          <w:lang w:val="en-US"/>
        </w:rPr>
        <w:t xml:space="preserve"> and the </w:t>
      </w:r>
      <w:r w:rsidRPr="00D9024F">
        <w:rPr>
          <w:rFonts w:ascii="Arial" w:hAnsi="Arial" w:cs="Arial"/>
          <w:i/>
          <w:sz w:val="20"/>
          <w:szCs w:val="20"/>
          <w:lang w:val="en-US"/>
        </w:rPr>
        <w:t>Global Technical Strategy for Malaria 2016-2030</w:t>
      </w:r>
      <w:r w:rsidRPr="00D9024F">
        <w:rPr>
          <w:rFonts w:ascii="Arial" w:hAnsi="Arial" w:cs="Arial"/>
          <w:sz w:val="20"/>
          <w:szCs w:val="20"/>
          <w:lang w:val="en-US"/>
        </w:rPr>
        <w:t xml:space="preserve">, and takes into account lessons learned from successful implementation of malaria control efforts in Bangladesh during the past decade.  </w:t>
      </w:r>
      <w:r w:rsidR="00957774" w:rsidRPr="00D9024F">
        <w:rPr>
          <w:rFonts w:ascii="Arial" w:hAnsi="Arial" w:cs="Arial"/>
          <w:sz w:val="20"/>
          <w:szCs w:val="20"/>
          <w:lang w:val="en-US"/>
        </w:rPr>
        <w:t>The strategy also reflects all of the recommendations of the recent Joint Monitoring Mission.</w:t>
      </w:r>
    </w:p>
    <w:p w:rsidR="00C91073" w:rsidRPr="00D9024F" w:rsidRDefault="00C91073" w:rsidP="00C91073">
      <w:pPr>
        <w:spacing w:after="120"/>
        <w:ind w:right="34"/>
        <w:rPr>
          <w:rFonts w:ascii="Arial" w:hAnsi="Arial" w:cs="Arial"/>
          <w:sz w:val="20"/>
          <w:szCs w:val="20"/>
        </w:rPr>
      </w:pPr>
      <w:bookmarkStart w:id="0" w:name="_Toc321411375"/>
      <w:r w:rsidRPr="00D9024F">
        <w:rPr>
          <w:rFonts w:ascii="Arial" w:hAnsi="Arial" w:cs="Arial"/>
          <w:sz w:val="20"/>
          <w:szCs w:val="20"/>
        </w:rPr>
        <w:t>The epidemiology of malaria in Bangladesh is highly complex, varying from location to location and from one population group to another. The different situations require different malaria control strategies, adapted to suit specific risk groups and vector behaviours, and adjusted to take into consideration local infrastructure and health service coverage. Intense malaria transmission is largely restricted to hilly, forested and forest fringe areas of th</w:t>
      </w:r>
      <w:r w:rsidR="00957774" w:rsidRPr="00D9024F">
        <w:rPr>
          <w:rFonts w:ascii="Arial" w:hAnsi="Arial" w:cs="Arial"/>
          <w:sz w:val="20"/>
          <w:szCs w:val="20"/>
        </w:rPr>
        <w:t>e Chittagong Hill Tracts (CHT) as t</w:t>
      </w:r>
      <w:r w:rsidRPr="00D9024F">
        <w:rPr>
          <w:rFonts w:ascii="Arial" w:hAnsi="Arial" w:cs="Arial"/>
          <w:sz w:val="20"/>
          <w:szCs w:val="20"/>
        </w:rPr>
        <w:t xml:space="preserve">he most efficient vectors cannot survive without dense shade and high humidity. The behaviour of malaria vectors in Bangladesh varies depending on climatic and other environmental factors. Both indoor and outdoor biting </w:t>
      </w:r>
      <w:r w:rsidR="00EC6194">
        <w:rPr>
          <w:rFonts w:ascii="Arial" w:hAnsi="Arial" w:cs="Arial"/>
          <w:sz w:val="20"/>
          <w:szCs w:val="20"/>
        </w:rPr>
        <w:t>occurs</w:t>
      </w:r>
      <w:r w:rsidRPr="00D9024F">
        <w:rPr>
          <w:rFonts w:ascii="Arial" w:hAnsi="Arial" w:cs="Arial"/>
          <w:sz w:val="20"/>
          <w:szCs w:val="20"/>
        </w:rPr>
        <w:t>, but primary vectors are characterised, at least seasonally, by their early outdoor biting habit. Nevertheless, long-lasting insecticide treated bednets (LLINs) continue to play a critical role in reducing malaria transmission.</w:t>
      </w:r>
    </w:p>
    <w:p w:rsidR="00957774" w:rsidRPr="00D9024F" w:rsidRDefault="001E1B6B" w:rsidP="00C91073">
      <w:pPr>
        <w:spacing w:after="120"/>
        <w:contextualSpacing/>
        <w:rPr>
          <w:rFonts w:ascii="Arial" w:hAnsi="Arial" w:cs="Arial"/>
          <w:sz w:val="20"/>
          <w:szCs w:val="20"/>
        </w:rPr>
      </w:pPr>
      <w:bookmarkStart w:id="1" w:name="_Toc321411376"/>
      <w:bookmarkEnd w:id="0"/>
      <w:r w:rsidRPr="003B445C">
        <w:rPr>
          <w:rFonts w:ascii="Arial" w:hAnsi="Arial" w:cs="Arial"/>
          <w:sz w:val="20"/>
          <w:szCs w:val="20"/>
        </w:rPr>
        <w:t>Malaria is becoming an increasingly focal disease in Bangladesh. In 2015, just 4 districts had an Annual Parasite Incidence (API) greater than 1, compared to 13 in 2008. In 2015, the 3 Chittagong Hill Trac</w:t>
      </w:r>
      <w:r>
        <w:rPr>
          <w:rFonts w:ascii="Arial" w:hAnsi="Arial" w:cs="Arial"/>
          <w:sz w:val="20"/>
          <w:szCs w:val="20"/>
        </w:rPr>
        <w:t>t</w:t>
      </w:r>
      <w:r w:rsidRPr="003B445C">
        <w:rPr>
          <w:rFonts w:ascii="Arial" w:hAnsi="Arial" w:cs="Arial"/>
          <w:sz w:val="20"/>
          <w:szCs w:val="20"/>
        </w:rPr>
        <w:t xml:space="preserve"> districts (Kagrachari, Rangamati and Bandarban) together accounted for 90% of confirmed malaria cases</w:t>
      </w:r>
      <w:r>
        <w:rPr>
          <w:rFonts w:ascii="Arial" w:hAnsi="Arial" w:cs="Arial"/>
          <w:sz w:val="20"/>
          <w:szCs w:val="20"/>
        </w:rPr>
        <w:t xml:space="preserve">. </w:t>
      </w:r>
      <w:r w:rsidRPr="00D9024F">
        <w:rPr>
          <w:rFonts w:ascii="Arial" w:hAnsi="Arial" w:cs="Arial"/>
          <w:sz w:val="20"/>
          <w:szCs w:val="20"/>
        </w:rPr>
        <w:t xml:space="preserve">Just 13 of the 64 districts in Bangladesh are considered to be ‘endemic’, although data to substantiate this view is currently lacking. </w:t>
      </w:r>
      <w:r w:rsidR="00C91073" w:rsidRPr="00D9024F">
        <w:rPr>
          <w:rFonts w:ascii="Arial" w:hAnsi="Arial" w:cs="Arial"/>
          <w:sz w:val="20"/>
          <w:szCs w:val="20"/>
        </w:rPr>
        <w:t>This situation will be rectified with the introduction of nationwide surveillance including zero reporting by 2018.</w:t>
      </w:r>
      <w:bookmarkStart w:id="2" w:name="_Toc321411378"/>
      <w:bookmarkEnd w:id="1"/>
    </w:p>
    <w:p w:rsidR="00957774" w:rsidRPr="00D9024F" w:rsidRDefault="00957774" w:rsidP="00C91073">
      <w:pPr>
        <w:spacing w:after="120"/>
        <w:contextualSpacing/>
        <w:rPr>
          <w:rFonts w:ascii="Arial" w:hAnsi="Arial" w:cs="Arial"/>
          <w:sz w:val="12"/>
          <w:szCs w:val="12"/>
        </w:rPr>
      </w:pPr>
    </w:p>
    <w:p w:rsidR="001848E0" w:rsidRPr="00D9024F" w:rsidRDefault="00C91073" w:rsidP="001848E0">
      <w:pPr>
        <w:spacing w:after="120"/>
        <w:contextualSpacing/>
        <w:rPr>
          <w:rFonts w:ascii="Arial" w:hAnsi="Arial" w:cs="Arial"/>
          <w:sz w:val="20"/>
          <w:szCs w:val="20"/>
        </w:rPr>
      </w:pPr>
      <w:r w:rsidRPr="00D9024F">
        <w:rPr>
          <w:rFonts w:ascii="Arial" w:hAnsi="Arial" w:cs="Arial"/>
          <w:sz w:val="20"/>
          <w:szCs w:val="20"/>
        </w:rPr>
        <w:t xml:space="preserve">The wide variety of population groups at risk of malaria in endemic areas of Bangladesh is summarized in table 1. These groups are discussed in detail in the NSPME. The level of malaria risk for each of these groups is dependent on a number of location-dependent factors including degree of endemicity, and accessibility to and strength of health system services. Poverty is </w:t>
      </w:r>
      <w:r w:rsidR="007B13AE">
        <w:rPr>
          <w:rFonts w:ascii="Arial" w:hAnsi="Arial" w:cs="Arial"/>
          <w:sz w:val="20"/>
          <w:szCs w:val="20"/>
        </w:rPr>
        <w:t>a</w:t>
      </w:r>
      <w:r w:rsidRPr="00D9024F">
        <w:rPr>
          <w:rFonts w:ascii="Arial" w:hAnsi="Arial" w:cs="Arial"/>
          <w:sz w:val="20"/>
          <w:szCs w:val="20"/>
        </w:rPr>
        <w:t xml:space="preserve"> key issue that limit</w:t>
      </w:r>
      <w:r w:rsidR="007B13AE">
        <w:rPr>
          <w:rFonts w:ascii="Arial" w:hAnsi="Arial" w:cs="Arial"/>
          <w:sz w:val="20"/>
          <w:szCs w:val="20"/>
        </w:rPr>
        <w:t>s</w:t>
      </w:r>
      <w:r w:rsidRPr="00D9024F">
        <w:rPr>
          <w:rFonts w:ascii="Arial" w:hAnsi="Arial" w:cs="Arial"/>
          <w:sz w:val="20"/>
          <w:szCs w:val="20"/>
        </w:rPr>
        <w:t xml:space="preserve"> access to malaria related services and hence increase</w:t>
      </w:r>
      <w:r w:rsidR="007B13AE">
        <w:rPr>
          <w:rFonts w:ascii="Arial" w:hAnsi="Arial" w:cs="Arial"/>
          <w:sz w:val="20"/>
          <w:szCs w:val="20"/>
        </w:rPr>
        <w:t>s</w:t>
      </w:r>
      <w:r w:rsidRPr="00D9024F">
        <w:rPr>
          <w:rFonts w:ascii="Arial" w:hAnsi="Arial" w:cs="Arial"/>
          <w:sz w:val="20"/>
          <w:szCs w:val="20"/>
        </w:rPr>
        <w:t xml:space="preserve"> risk.</w:t>
      </w:r>
      <w:bookmarkStart w:id="3" w:name="_Toc321411380"/>
      <w:bookmarkEnd w:id="2"/>
      <w:r w:rsidRPr="00D9024F">
        <w:rPr>
          <w:rFonts w:ascii="Arial" w:hAnsi="Arial" w:cs="Arial"/>
          <w:sz w:val="20"/>
          <w:szCs w:val="20"/>
          <w:lang w:val="en-US"/>
        </w:rPr>
        <w:t>Rohingya refugees remain a significant problem in Bangladesh</w:t>
      </w:r>
      <w:r w:rsidR="00EC6194">
        <w:rPr>
          <w:rFonts w:ascii="Arial" w:hAnsi="Arial" w:cs="Arial"/>
          <w:sz w:val="20"/>
          <w:szCs w:val="20"/>
          <w:lang w:val="en-US"/>
        </w:rPr>
        <w:t>, especially since the recent influx</w:t>
      </w:r>
      <w:r w:rsidRPr="00D9024F">
        <w:rPr>
          <w:rFonts w:ascii="Arial" w:hAnsi="Arial" w:cs="Arial"/>
          <w:sz w:val="20"/>
          <w:szCs w:val="20"/>
          <w:lang w:val="en-US"/>
        </w:rPr>
        <w:t xml:space="preserve">. Of the 232,000 refugees (or refugee-like populations) reported by UNHCR in November 2016, 200,000 were scattered through a number of southeastern districts, </w:t>
      </w:r>
      <w:r w:rsidR="00957774" w:rsidRPr="00D9024F">
        <w:rPr>
          <w:rFonts w:ascii="Arial" w:hAnsi="Arial" w:cs="Arial"/>
          <w:sz w:val="20"/>
          <w:szCs w:val="20"/>
          <w:lang w:val="en-US"/>
        </w:rPr>
        <w:t>while just 32,000 were</w:t>
      </w:r>
      <w:r w:rsidRPr="00D9024F">
        <w:rPr>
          <w:rFonts w:ascii="Arial" w:hAnsi="Arial" w:cs="Arial"/>
          <w:sz w:val="20"/>
          <w:szCs w:val="20"/>
          <w:lang w:val="en-US"/>
        </w:rPr>
        <w:t xml:space="preserve"> based in camps. These populations generally have less access to health services and hence are less well protected from malaria than other </w:t>
      </w:r>
      <w:r w:rsidRPr="00D9024F">
        <w:rPr>
          <w:rFonts w:ascii="Arial" w:hAnsi="Arial" w:cs="Arial"/>
          <w:sz w:val="20"/>
          <w:szCs w:val="20"/>
          <w:lang w:val="en-US"/>
        </w:rPr>
        <w:lastRenderedPageBreak/>
        <w:t xml:space="preserve">populations in the same areas. </w:t>
      </w:r>
      <w:r w:rsidR="001848E0">
        <w:rPr>
          <w:rFonts w:ascii="Arial" w:hAnsi="Arial" w:cs="Arial"/>
          <w:sz w:val="20"/>
          <w:szCs w:val="20"/>
          <w:lang w:val="en-US"/>
        </w:rPr>
        <w:t>A malaria outbreak amongst this group could upset the recent gains in malaria control in Bangladesh</w:t>
      </w:r>
    </w:p>
    <w:p w:rsidR="00957774" w:rsidRPr="00D9024F" w:rsidRDefault="00957774" w:rsidP="00C91073">
      <w:pPr>
        <w:spacing w:after="120"/>
        <w:contextualSpacing/>
        <w:rPr>
          <w:rFonts w:ascii="Arial" w:hAnsi="Arial" w:cs="Arial"/>
          <w:sz w:val="12"/>
          <w:szCs w:val="12"/>
        </w:rPr>
      </w:pPr>
    </w:p>
    <w:p w:rsidR="00C91073" w:rsidRPr="00D9024F" w:rsidRDefault="00C91073" w:rsidP="00C91073">
      <w:pPr>
        <w:spacing w:after="120"/>
        <w:contextualSpacing/>
        <w:rPr>
          <w:rFonts w:ascii="Arial" w:hAnsi="Arial" w:cs="Arial"/>
          <w:sz w:val="20"/>
          <w:szCs w:val="20"/>
        </w:rPr>
      </w:pPr>
      <w:r w:rsidRPr="00D9024F">
        <w:rPr>
          <w:rFonts w:ascii="Arial" w:hAnsi="Arial" w:cs="Arial"/>
          <w:sz w:val="20"/>
          <w:szCs w:val="20"/>
        </w:rPr>
        <w:t>Migrants, who may be found in most of the situations described in table 1</w:t>
      </w:r>
      <w:r w:rsidR="00D9024F" w:rsidRPr="00D9024F">
        <w:rPr>
          <w:rFonts w:ascii="Arial" w:hAnsi="Arial" w:cs="Arial"/>
          <w:sz w:val="20"/>
          <w:szCs w:val="20"/>
        </w:rPr>
        <w:t>.2</w:t>
      </w:r>
      <w:r w:rsidRPr="00D9024F">
        <w:rPr>
          <w:rFonts w:ascii="Arial" w:hAnsi="Arial" w:cs="Arial"/>
          <w:sz w:val="20"/>
          <w:szCs w:val="20"/>
        </w:rPr>
        <w:t xml:space="preserve">, are a particular concern as they could potentially contribute to the spread of artemisinin resistant malaria parasites from neighbouring Myanmar and beyond. </w:t>
      </w:r>
    </w:p>
    <w:p w:rsidR="00C91073" w:rsidRPr="00D9024F" w:rsidRDefault="00C91073" w:rsidP="00C91073">
      <w:pPr>
        <w:spacing w:after="120"/>
        <w:rPr>
          <w:rFonts w:ascii="Arial" w:hAnsi="Arial" w:cs="Arial"/>
          <w:b/>
          <w:sz w:val="20"/>
          <w:szCs w:val="20"/>
        </w:rPr>
      </w:pPr>
    </w:p>
    <w:p w:rsidR="00C91073" w:rsidRPr="00D9024F" w:rsidRDefault="00C91073" w:rsidP="00C91073">
      <w:pPr>
        <w:spacing w:after="120"/>
        <w:rPr>
          <w:rFonts w:ascii="Arial" w:hAnsi="Arial" w:cs="Arial"/>
          <w:b/>
          <w:sz w:val="20"/>
          <w:szCs w:val="20"/>
        </w:rPr>
      </w:pPr>
      <w:r w:rsidRPr="00D9024F">
        <w:rPr>
          <w:rFonts w:ascii="Arial" w:hAnsi="Arial" w:cs="Arial"/>
          <w:b/>
          <w:sz w:val="20"/>
          <w:szCs w:val="20"/>
        </w:rPr>
        <w:t xml:space="preserve">Table </w:t>
      </w:r>
      <w:r w:rsidR="00D9024F" w:rsidRPr="00D9024F">
        <w:rPr>
          <w:rFonts w:ascii="Arial" w:hAnsi="Arial" w:cs="Arial"/>
          <w:b/>
          <w:sz w:val="20"/>
          <w:szCs w:val="20"/>
        </w:rPr>
        <w:t>1.</w:t>
      </w:r>
      <w:r w:rsidRPr="00D9024F">
        <w:rPr>
          <w:rFonts w:ascii="Arial" w:hAnsi="Arial" w:cs="Arial"/>
          <w:b/>
          <w:sz w:val="20"/>
          <w:szCs w:val="20"/>
        </w:rPr>
        <w:t>2. Population groups at risk of malaria in endemic areas of Bangladesh.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3"/>
        <w:gridCol w:w="5793"/>
      </w:tblGrid>
      <w:tr w:rsidR="00C91073" w:rsidRPr="00D9024F" w:rsidTr="004C6532">
        <w:tc>
          <w:tcPr>
            <w:tcW w:w="2723" w:type="dxa"/>
          </w:tcPr>
          <w:p w:rsidR="00C91073" w:rsidRPr="00D9024F" w:rsidRDefault="00C91073" w:rsidP="00096485">
            <w:pPr>
              <w:spacing w:after="120"/>
              <w:rPr>
                <w:rFonts w:ascii="Arial" w:hAnsi="Arial"/>
                <w:b/>
                <w:i/>
              </w:rPr>
            </w:pPr>
            <w:r w:rsidRPr="00D9024F">
              <w:rPr>
                <w:rFonts w:ascii="Arial" w:hAnsi="Arial"/>
                <w:i/>
              </w:rPr>
              <w:t xml:space="preserve">Static populations* </w:t>
            </w:r>
          </w:p>
        </w:tc>
        <w:tc>
          <w:tcPr>
            <w:tcW w:w="5793" w:type="dxa"/>
          </w:tcPr>
          <w:p w:rsidR="00C91073" w:rsidRPr="00D9024F" w:rsidRDefault="00C91073" w:rsidP="00096485">
            <w:pPr>
              <w:spacing w:after="120"/>
              <w:rPr>
                <w:rFonts w:ascii="Arial" w:hAnsi="Arial"/>
                <w:b/>
                <w:i/>
              </w:rPr>
            </w:pPr>
            <w:r w:rsidRPr="00D9024F">
              <w:rPr>
                <w:rFonts w:ascii="Arial" w:hAnsi="Arial"/>
                <w:i/>
              </w:rPr>
              <w:t>Mobile and migrant populations</w:t>
            </w:r>
          </w:p>
        </w:tc>
      </w:tr>
      <w:tr w:rsidR="00C91073" w:rsidRPr="00D9024F" w:rsidTr="004C6532">
        <w:tc>
          <w:tcPr>
            <w:tcW w:w="2723" w:type="dxa"/>
          </w:tcPr>
          <w:p w:rsidR="00C91073" w:rsidRPr="00D9024F" w:rsidRDefault="00C91073" w:rsidP="007205D8">
            <w:pPr>
              <w:numPr>
                <w:ilvl w:val="0"/>
                <w:numId w:val="7"/>
              </w:numPr>
              <w:spacing w:after="120"/>
              <w:ind w:left="142" w:hanging="142"/>
              <w:rPr>
                <w:rFonts w:ascii="Arial" w:hAnsi="Arial"/>
                <w:b/>
                <w:lang w:val="en-US"/>
              </w:rPr>
            </w:pPr>
            <w:r w:rsidRPr="00D9024F">
              <w:rPr>
                <w:rFonts w:ascii="Arial" w:hAnsi="Arial"/>
              </w:rPr>
              <w:t>Established villages (ethnic minority groups [EMGs] and ethnic majority).</w:t>
            </w:r>
          </w:p>
          <w:p w:rsidR="00C91073" w:rsidRPr="00D9024F" w:rsidRDefault="00C91073" w:rsidP="007205D8">
            <w:pPr>
              <w:numPr>
                <w:ilvl w:val="0"/>
                <w:numId w:val="7"/>
              </w:numPr>
              <w:spacing w:after="120"/>
              <w:ind w:left="142" w:hanging="142"/>
              <w:rPr>
                <w:rFonts w:ascii="Arial" w:eastAsiaTheme="minorEastAsia" w:hAnsi="Arial"/>
                <w:b/>
              </w:rPr>
            </w:pPr>
            <w:r w:rsidRPr="00D9024F">
              <w:rPr>
                <w:rFonts w:ascii="Arial" w:hAnsi="Arial"/>
              </w:rPr>
              <w:t>Rohingya refugee camps.</w:t>
            </w:r>
          </w:p>
          <w:p w:rsidR="00C91073" w:rsidRPr="00D9024F" w:rsidRDefault="00C91073" w:rsidP="007205D8">
            <w:pPr>
              <w:numPr>
                <w:ilvl w:val="0"/>
                <w:numId w:val="7"/>
              </w:numPr>
              <w:spacing w:after="120"/>
              <w:ind w:left="142" w:hanging="142"/>
              <w:rPr>
                <w:rFonts w:ascii="Arial" w:hAnsi="Arial"/>
                <w:b/>
                <w:lang w:val="en-US"/>
              </w:rPr>
            </w:pPr>
            <w:r w:rsidRPr="00D9024F">
              <w:rPr>
                <w:rFonts w:ascii="Arial" w:hAnsi="Arial"/>
              </w:rPr>
              <w:t>New settlements.</w:t>
            </w:r>
          </w:p>
          <w:p w:rsidR="00C91073" w:rsidRPr="00D9024F" w:rsidRDefault="00C91073" w:rsidP="007205D8">
            <w:pPr>
              <w:numPr>
                <w:ilvl w:val="0"/>
                <w:numId w:val="7"/>
              </w:numPr>
              <w:spacing w:after="120"/>
              <w:ind w:left="142" w:hanging="142"/>
              <w:rPr>
                <w:rFonts w:ascii="Arial" w:hAnsi="Arial"/>
                <w:b/>
                <w:lang w:val="en-US"/>
              </w:rPr>
            </w:pPr>
            <w:r w:rsidRPr="00D9024F">
              <w:rPr>
                <w:rFonts w:ascii="Arial" w:hAnsi="Arial"/>
              </w:rPr>
              <w:t>Camps associated with large-scale construction projects (dams, bridges, mines, etc.).</w:t>
            </w:r>
          </w:p>
          <w:p w:rsidR="00C91073" w:rsidRPr="00D9024F" w:rsidRDefault="00C91073" w:rsidP="007205D8">
            <w:pPr>
              <w:numPr>
                <w:ilvl w:val="0"/>
                <w:numId w:val="7"/>
              </w:numPr>
              <w:spacing w:after="120"/>
              <w:ind w:left="142" w:hanging="142"/>
              <w:rPr>
                <w:rFonts w:ascii="Arial" w:hAnsi="Arial"/>
                <w:b/>
              </w:rPr>
            </w:pPr>
            <w:r w:rsidRPr="00D9024F">
              <w:rPr>
                <w:rFonts w:ascii="Arial" w:hAnsi="Arial"/>
              </w:rPr>
              <w:t>Rubber plantations.</w:t>
            </w:r>
          </w:p>
          <w:p w:rsidR="00C91073" w:rsidRPr="00D9024F" w:rsidRDefault="00C91073" w:rsidP="007205D8">
            <w:pPr>
              <w:numPr>
                <w:ilvl w:val="0"/>
                <w:numId w:val="7"/>
              </w:numPr>
              <w:spacing w:after="120"/>
              <w:ind w:left="142" w:hanging="142"/>
              <w:rPr>
                <w:rFonts w:ascii="Arial" w:eastAsiaTheme="minorEastAsia" w:hAnsi="Arial"/>
                <w:b/>
                <w:lang w:val="en-US"/>
              </w:rPr>
            </w:pPr>
            <w:r w:rsidRPr="00D9024F">
              <w:rPr>
                <w:rFonts w:ascii="Arial" w:hAnsi="Arial"/>
              </w:rPr>
              <w:t>Tea gardens.</w:t>
            </w:r>
          </w:p>
          <w:p w:rsidR="00C91073" w:rsidRPr="00D9024F" w:rsidRDefault="00C91073" w:rsidP="00096485">
            <w:pPr>
              <w:spacing w:after="120"/>
              <w:ind w:left="357"/>
              <w:rPr>
                <w:rFonts w:ascii="Arial" w:eastAsiaTheme="minorEastAsia" w:hAnsi="Arial"/>
                <w:b/>
                <w:bCs/>
              </w:rPr>
            </w:pPr>
          </w:p>
        </w:tc>
        <w:tc>
          <w:tcPr>
            <w:tcW w:w="5793" w:type="dxa"/>
          </w:tcPr>
          <w:p w:rsidR="00C91073" w:rsidRPr="00D9024F" w:rsidRDefault="00C91073" w:rsidP="007205D8">
            <w:pPr>
              <w:numPr>
                <w:ilvl w:val="0"/>
                <w:numId w:val="7"/>
              </w:numPr>
              <w:spacing w:after="120"/>
              <w:ind w:left="112" w:hanging="112"/>
              <w:rPr>
                <w:rFonts w:ascii="Arial" w:eastAsiaTheme="minorEastAsia" w:hAnsi="Arial"/>
                <w:b/>
              </w:rPr>
            </w:pPr>
            <w:r w:rsidRPr="00D9024F">
              <w:rPr>
                <w:rFonts w:ascii="Arial" w:hAnsi="Arial"/>
              </w:rPr>
              <w:t>‘Jhum’ (traditional slash-and-burn) and paddy field farming communities visiting their forest farms (commonly EMGs).</w:t>
            </w:r>
          </w:p>
          <w:p w:rsidR="00C91073" w:rsidRPr="00D9024F" w:rsidRDefault="00C91073" w:rsidP="007205D8">
            <w:pPr>
              <w:numPr>
                <w:ilvl w:val="0"/>
                <w:numId w:val="7"/>
              </w:numPr>
              <w:spacing w:after="120"/>
              <w:ind w:left="112" w:hanging="112"/>
              <w:rPr>
                <w:rFonts w:ascii="Arial" w:hAnsi="Arial"/>
                <w:b/>
                <w:lang w:val="en-US"/>
              </w:rPr>
            </w:pPr>
            <w:r w:rsidRPr="00D9024F">
              <w:rPr>
                <w:rFonts w:ascii="Arial" w:hAnsi="Arial"/>
              </w:rPr>
              <w:t xml:space="preserve">Seasonal agricultural labourers (particularly those moving between low-endemic plains areas and high-endemic forested foothill areas). </w:t>
            </w:r>
          </w:p>
          <w:p w:rsidR="00C91073" w:rsidRPr="00D9024F" w:rsidRDefault="00C91073" w:rsidP="007205D8">
            <w:pPr>
              <w:keepNext/>
              <w:keepLines/>
              <w:widowControl w:val="0"/>
              <w:numPr>
                <w:ilvl w:val="0"/>
                <w:numId w:val="7"/>
              </w:numPr>
              <w:spacing w:after="120"/>
              <w:ind w:left="112" w:hanging="112"/>
              <w:outlineLvl w:val="5"/>
              <w:rPr>
                <w:rFonts w:ascii="Arial" w:hAnsi="Arial"/>
                <w:b/>
                <w:lang w:val="en-US"/>
              </w:rPr>
            </w:pPr>
            <w:r w:rsidRPr="00D9024F">
              <w:rPr>
                <w:rFonts w:ascii="Arial" w:hAnsi="Arial"/>
              </w:rPr>
              <w:t xml:space="preserve">Defence services. </w:t>
            </w:r>
          </w:p>
          <w:p w:rsidR="00C91073" w:rsidRPr="00D9024F" w:rsidRDefault="00C91073" w:rsidP="007205D8">
            <w:pPr>
              <w:numPr>
                <w:ilvl w:val="0"/>
                <w:numId w:val="7"/>
              </w:numPr>
              <w:spacing w:after="120"/>
              <w:ind w:left="112" w:hanging="112"/>
              <w:rPr>
                <w:rFonts w:ascii="Arial" w:hAnsi="Arial"/>
                <w:b/>
                <w:lang w:val="en-US"/>
              </w:rPr>
            </w:pPr>
            <w:r w:rsidRPr="00D9024F">
              <w:rPr>
                <w:rFonts w:ascii="Arial" w:hAnsi="Arial"/>
              </w:rPr>
              <w:t>Forest workers in the formal sector (police, border guards, forest/wildlife protection services).</w:t>
            </w:r>
          </w:p>
          <w:p w:rsidR="00C91073" w:rsidRPr="00D9024F" w:rsidRDefault="00C91073" w:rsidP="007205D8">
            <w:pPr>
              <w:numPr>
                <w:ilvl w:val="0"/>
                <w:numId w:val="7"/>
              </w:numPr>
              <w:spacing w:after="120"/>
              <w:ind w:left="112" w:hanging="112"/>
              <w:rPr>
                <w:rFonts w:ascii="Arial" w:hAnsi="Arial"/>
                <w:b/>
                <w:lang w:val="en-US"/>
              </w:rPr>
            </w:pPr>
            <w:r w:rsidRPr="00D9024F">
              <w:rPr>
                <w:rFonts w:ascii="Arial" w:hAnsi="Arial"/>
              </w:rPr>
              <w:t xml:space="preserve">Forest workers in the informal sector (hunters, people gathering forest products such as precious timber, construction timber, rattan or bamboo). </w:t>
            </w:r>
          </w:p>
          <w:p w:rsidR="00C91073" w:rsidRPr="00D9024F" w:rsidRDefault="00C91073" w:rsidP="007205D8">
            <w:pPr>
              <w:numPr>
                <w:ilvl w:val="0"/>
                <w:numId w:val="7"/>
              </w:numPr>
              <w:spacing w:after="120"/>
              <w:ind w:left="112" w:hanging="112"/>
              <w:rPr>
                <w:rFonts w:ascii="Arial" w:hAnsi="Arial"/>
                <w:b/>
                <w:lang w:val="en-US"/>
              </w:rPr>
            </w:pPr>
            <w:r w:rsidRPr="00D9024F">
              <w:rPr>
                <w:rFonts w:ascii="Arial" w:hAnsi="Arial"/>
              </w:rPr>
              <w:t>Rohingya refugees.</w:t>
            </w:r>
          </w:p>
          <w:p w:rsidR="00C91073" w:rsidRPr="00D9024F" w:rsidRDefault="00C91073" w:rsidP="007205D8">
            <w:pPr>
              <w:numPr>
                <w:ilvl w:val="0"/>
                <w:numId w:val="7"/>
              </w:numPr>
              <w:spacing w:after="120"/>
              <w:ind w:left="112" w:hanging="112"/>
              <w:rPr>
                <w:rFonts w:ascii="Arial" w:hAnsi="Arial"/>
                <w:b/>
                <w:lang w:val="en-US"/>
              </w:rPr>
            </w:pPr>
            <w:r w:rsidRPr="00D9024F">
              <w:rPr>
                <w:rFonts w:ascii="Arial" w:hAnsi="Arial"/>
              </w:rPr>
              <w:t>Transient or mobile camps associated with commercial projects (road construction, large-scale logging).</w:t>
            </w:r>
          </w:p>
          <w:p w:rsidR="00C91073" w:rsidRPr="00D9024F" w:rsidRDefault="00C91073" w:rsidP="007205D8">
            <w:pPr>
              <w:numPr>
                <w:ilvl w:val="0"/>
                <w:numId w:val="7"/>
              </w:numPr>
              <w:spacing w:after="120"/>
              <w:ind w:left="112" w:hanging="112"/>
              <w:rPr>
                <w:rFonts w:ascii="Arial" w:hAnsi="Arial"/>
                <w:b/>
                <w:lang w:val="en-US"/>
              </w:rPr>
            </w:pPr>
            <w:r w:rsidRPr="00D9024F">
              <w:rPr>
                <w:rFonts w:ascii="Arial" w:hAnsi="Arial"/>
              </w:rPr>
              <w:t>Formal and informal cross-border migrant workers (legal and illegal workforces) e.g. Netrakona residents mining coal in India.</w:t>
            </w:r>
          </w:p>
          <w:p w:rsidR="00C91073" w:rsidRPr="00D9024F" w:rsidRDefault="00C91073" w:rsidP="007205D8">
            <w:pPr>
              <w:numPr>
                <w:ilvl w:val="0"/>
                <w:numId w:val="7"/>
              </w:numPr>
              <w:spacing w:after="120"/>
              <w:ind w:left="112" w:hanging="112"/>
              <w:rPr>
                <w:rFonts w:ascii="Arial" w:hAnsi="Arial"/>
                <w:b/>
                <w:lang w:val="en-US"/>
              </w:rPr>
            </w:pPr>
            <w:r w:rsidRPr="00D9024F">
              <w:rPr>
                <w:rFonts w:ascii="Arial" w:hAnsi="Arial"/>
              </w:rPr>
              <w:t>Pilgrims (religious individuals/groups spending extended periods at mosques and temples in endemic areas)</w:t>
            </w:r>
          </w:p>
          <w:p w:rsidR="00C91073" w:rsidRPr="00D9024F" w:rsidRDefault="00C91073" w:rsidP="007205D8">
            <w:pPr>
              <w:numPr>
                <w:ilvl w:val="0"/>
                <w:numId w:val="7"/>
              </w:numPr>
              <w:spacing w:after="120"/>
              <w:ind w:left="112" w:hanging="112"/>
              <w:rPr>
                <w:rFonts w:ascii="Arial" w:eastAsiaTheme="minorEastAsia" w:hAnsi="Arial"/>
                <w:b/>
                <w:lang w:val="en-US"/>
              </w:rPr>
            </w:pPr>
            <w:r w:rsidRPr="00D9024F">
              <w:rPr>
                <w:rFonts w:ascii="Arial" w:hAnsi="Arial"/>
              </w:rPr>
              <w:t>Tourists travelling from urban areas to endemic forested foothills.</w:t>
            </w:r>
          </w:p>
        </w:tc>
      </w:tr>
    </w:tbl>
    <w:p w:rsidR="00C91073" w:rsidRPr="004C6532" w:rsidRDefault="00C91073" w:rsidP="00C91073">
      <w:pPr>
        <w:spacing w:after="120"/>
        <w:rPr>
          <w:rFonts w:ascii="Arial" w:hAnsi="Arial" w:cs="Arial"/>
          <w:sz w:val="16"/>
          <w:szCs w:val="16"/>
        </w:rPr>
      </w:pPr>
      <w:r w:rsidRPr="004C6532">
        <w:rPr>
          <w:rFonts w:ascii="Arial" w:hAnsi="Arial" w:cs="Arial"/>
          <w:sz w:val="16"/>
          <w:szCs w:val="16"/>
        </w:rPr>
        <w:t>* Static for &gt;1 year.</w:t>
      </w:r>
    </w:p>
    <w:p w:rsidR="00C91073" w:rsidRPr="00D9024F" w:rsidRDefault="00C91073" w:rsidP="00C91073">
      <w:pPr>
        <w:spacing w:after="120"/>
        <w:rPr>
          <w:rFonts w:ascii="Arial" w:hAnsi="Arial" w:cs="Arial"/>
          <w:b/>
          <w:sz w:val="20"/>
          <w:szCs w:val="20"/>
        </w:rPr>
      </w:pPr>
      <w:r w:rsidRPr="00D9024F">
        <w:rPr>
          <w:rFonts w:ascii="Arial" w:hAnsi="Arial" w:cs="Arial"/>
          <w:sz w:val="20"/>
          <w:szCs w:val="20"/>
        </w:rPr>
        <w:t xml:space="preserve">Providing malaria related services to high-risk static populations is relatively straightforward, at least theoretically. The location of settlements, plantations, construction sites and development projects can be mapped, populations can be quantified and plans for delivering interventions can be formulated. The challenges to service delivery among mobile populations are more complex. Mapping is often not possible, there may not be any actual houses or other structures in which to suspend an LLIN, the population size may vary from day to day making quantification of needs difficult, and in the case of illegal migrants and individuals involved in illegal activities, fear of punishment often prevents any contact with official groups or groups that are perceived to be official. Providing a comprehensive package of services to these high-risk </w:t>
      </w:r>
      <w:r w:rsidRPr="00D9024F">
        <w:rPr>
          <w:rFonts w:ascii="Arial" w:hAnsi="Arial" w:cs="Arial"/>
          <w:i/>
          <w:sz w:val="20"/>
          <w:szCs w:val="20"/>
        </w:rPr>
        <w:t>mobile population groups</w:t>
      </w:r>
      <w:r w:rsidRPr="00D9024F">
        <w:rPr>
          <w:rFonts w:ascii="Arial" w:hAnsi="Arial" w:cs="Arial"/>
          <w:sz w:val="20"/>
          <w:szCs w:val="20"/>
        </w:rPr>
        <w:t xml:space="preserve"> will be crucial as Bangladesh moves towards elimination. </w:t>
      </w:r>
    </w:p>
    <w:bookmarkEnd w:id="3"/>
    <w:p w:rsidR="00C91073" w:rsidRPr="00D9024F" w:rsidRDefault="00C91073" w:rsidP="00C91073">
      <w:pPr>
        <w:spacing w:after="120"/>
        <w:rPr>
          <w:rFonts w:ascii="Arial" w:hAnsi="Arial" w:cs="Arial"/>
          <w:sz w:val="20"/>
          <w:szCs w:val="20"/>
          <w:lang w:val="en-US"/>
        </w:rPr>
      </w:pPr>
      <w:r w:rsidRPr="00D9024F">
        <w:rPr>
          <w:rFonts w:ascii="Arial" w:hAnsi="Arial" w:cs="Arial"/>
          <w:sz w:val="20"/>
          <w:szCs w:val="20"/>
          <w:lang w:val="en-US"/>
        </w:rPr>
        <w:t xml:space="preserve">Malaria is a </w:t>
      </w:r>
      <w:r w:rsidRPr="00D9024F">
        <w:rPr>
          <w:rFonts w:ascii="Arial" w:hAnsi="Arial" w:cs="Arial"/>
          <w:bCs/>
          <w:sz w:val="20"/>
          <w:szCs w:val="20"/>
          <w:lang w:val="en-US"/>
        </w:rPr>
        <w:t xml:space="preserve">focal </w:t>
      </w:r>
      <w:r w:rsidRPr="00D9024F">
        <w:rPr>
          <w:rFonts w:ascii="Arial" w:hAnsi="Arial" w:cs="Arial"/>
          <w:sz w:val="20"/>
          <w:szCs w:val="20"/>
          <w:lang w:val="en-US"/>
        </w:rPr>
        <w:t xml:space="preserve">disease and to ensure effective use of limited resources it is therefore essential to identify the areas and populations at highest risk, which must be prioritized for the various programme interventions. An API based stratification at district-level is being used to select programme phase: </w:t>
      </w:r>
      <w:r w:rsidRPr="00D9024F">
        <w:rPr>
          <w:rFonts w:ascii="Arial" w:hAnsi="Arial" w:cs="Arial"/>
          <w:sz w:val="20"/>
          <w:szCs w:val="20"/>
          <w:lang w:val="en-US"/>
        </w:rPr>
        <w:lastRenderedPageBreak/>
        <w:t xml:space="preserve">Burden reduction; Elimination; or, Prevention of reintroduction. In addition, the programme has adopted a two-tier approach to stratification for LLIN targeting, which takes into account the unique epidemiology of malaria in the CHT districts. The approach also prioritizes areas based on risk, in case funds for LLIN procurement are limited. </w:t>
      </w:r>
    </w:p>
    <w:p w:rsidR="00C91073" w:rsidRPr="00D9024F" w:rsidRDefault="00C91073" w:rsidP="00C91073">
      <w:pPr>
        <w:spacing w:after="120"/>
        <w:rPr>
          <w:rFonts w:ascii="Arial" w:hAnsi="Arial" w:cs="Arial"/>
          <w:sz w:val="20"/>
          <w:szCs w:val="20"/>
        </w:rPr>
      </w:pPr>
      <w:r w:rsidRPr="00D9024F">
        <w:rPr>
          <w:rFonts w:ascii="Arial" w:hAnsi="Arial" w:cs="Arial"/>
          <w:sz w:val="20"/>
          <w:szCs w:val="20"/>
          <w:lang w:val="en-US"/>
        </w:rPr>
        <w:t xml:space="preserve">Bangladeshi women </w:t>
      </w:r>
      <w:r w:rsidR="001E1B6B">
        <w:rPr>
          <w:rFonts w:ascii="Arial" w:hAnsi="Arial" w:cs="Arial"/>
          <w:sz w:val="20"/>
          <w:szCs w:val="20"/>
          <w:lang w:val="en-US"/>
        </w:rPr>
        <w:t xml:space="preserve">still </w:t>
      </w:r>
      <w:r w:rsidRPr="00D9024F">
        <w:rPr>
          <w:rFonts w:ascii="Arial" w:hAnsi="Arial" w:cs="Arial"/>
          <w:sz w:val="20"/>
          <w:szCs w:val="20"/>
          <w:lang w:val="en-US"/>
        </w:rPr>
        <w:t xml:space="preserve">face </w:t>
      </w:r>
      <w:r w:rsidR="001E1B6B">
        <w:rPr>
          <w:rFonts w:ascii="Arial" w:hAnsi="Arial" w:cs="Arial"/>
          <w:sz w:val="20"/>
          <w:szCs w:val="20"/>
          <w:lang w:val="en-US"/>
        </w:rPr>
        <w:t xml:space="preserve">gender related </w:t>
      </w:r>
      <w:r w:rsidRPr="00D9024F">
        <w:rPr>
          <w:rFonts w:ascii="Arial" w:hAnsi="Arial" w:cs="Arial"/>
          <w:sz w:val="20"/>
          <w:szCs w:val="20"/>
          <w:lang w:val="en-US"/>
        </w:rPr>
        <w:t xml:space="preserve">barriers and disadvantages in </w:t>
      </w:r>
      <w:r w:rsidR="001E1B6B">
        <w:rPr>
          <w:rFonts w:ascii="Arial" w:hAnsi="Arial" w:cs="Arial"/>
          <w:sz w:val="20"/>
          <w:szCs w:val="20"/>
          <w:lang w:val="en-US"/>
        </w:rPr>
        <w:t xml:space="preserve">various </w:t>
      </w:r>
      <w:r w:rsidRPr="00D9024F">
        <w:rPr>
          <w:rFonts w:ascii="Arial" w:hAnsi="Arial" w:cs="Arial"/>
          <w:sz w:val="20"/>
          <w:szCs w:val="20"/>
          <w:lang w:val="en-US"/>
        </w:rPr>
        <w:t>aspect</w:t>
      </w:r>
      <w:r w:rsidR="001E1B6B">
        <w:rPr>
          <w:rFonts w:ascii="Arial" w:hAnsi="Arial" w:cs="Arial"/>
          <w:sz w:val="20"/>
          <w:szCs w:val="20"/>
          <w:lang w:val="en-US"/>
        </w:rPr>
        <w:t>s</w:t>
      </w:r>
      <w:r w:rsidRPr="00D9024F">
        <w:rPr>
          <w:rFonts w:ascii="Arial" w:hAnsi="Arial" w:cs="Arial"/>
          <w:sz w:val="20"/>
          <w:szCs w:val="20"/>
          <w:lang w:val="en-US"/>
        </w:rPr>
        <w:t xml:space="preserve"> of their lives, including </w:t>
      </w:r>
      <w:r w:rsidR="001E1B6B">
        <w:rPr>
          <w:rFonts w:ascii="Arial" w:hAnsi="Arial" w:cs="Arial"/>
          <w:sz w:val="20"/>
          <w:szCs w:val="20"/>
          <w:lang w:val="en-US"/>
        </w:rPr>
        <w:t xml:space="preserve">some that affect </w:t>
      </w:r>
      <w:r w:rsidRPr="00D9024F">
        <w:rPr>
          <w:rFonts w:ascii="Arial" w:hAnsi="Arial" w:cs="Arial"/>
          <w:sz w:val="20"/>
          <w:szCs w:val="20"/>
          <w:lang w:val="en-US"/>
        </w:rPr>
        <w:t xml:space="preserve">access to health services. Efforts are underway to reduce gender inequality and raise awareness about the positive impacts of empowering women and girls. </w:t>
      </w:r>
      <w:r w:rsidR="002850E8" w:rsidRPr="00D9024F">
        <w:rPr>
          <w:rFonts w:ascii="Arial" w:hAnsi="Arial" w:cs="Arial"/>
          <w:sz w:val="20"/>
          <w:szCs w:val="20"/>
          <w:lang w:val="en-US"/>
        </w:rPr>
        <w:t xml:space="preserve">There have been </w:t>
      </w:r>
      <w:r w:rsidR="001E1B6B">
        <w:rPr>
          <w:rFonts w:ascii="Arial" w:hAnsi="Arial" w:cs="Arial"/>
          <w:sz w:val="20"/>
          <w:szCs w:val="20"/>
          <w:lang w:val="en-US"/>
        </w:rPr>
        <w:t xml:space="preserve">very </w:t>
      </w:r>
      <w:r w:rsidR="002850E8" w:rsidRPr="00D9024F">
        <w:rPr>
          <w:rFonts w:ascii="Arial" w:hAnsi="Arial" w:cs="Arial"/>
          <w:sz w:val="20"/>
          <w:szCs w:val="20"/>
          <w:lang w:val="en-US"/>
        </w:rPr>
        <w:t>significant improvements in women’s health over the past three decades. Women’s life expectancy, for example, increased from 54.3 years in 1980 to 73.1 years in 2015, one of the largest increases in the region.</w:t>
      </w:r>
    </w:p>
    <w:p w:rsidR="00C91073" w:rsidRPr="00D9024F" w:rsidRDefault="00C91073" w:rsidP="00C91073">
      <w:pPr>
        <w:spacing w:after="120"/>
        <w:rPr>
          <w:rFonts w:ascii="Arial" w:hAnsi="Arial" w:cs="Arial"/>
          <w:bCs/>
          <w:sz w:val="20"/>
          <w:szCs w:val="20"/>
          <w:lang w:val="en-US"/>
        </w:rPr>
      </w:pPr>
      <w:bookmarkStart w:id="4" w:name="_Toc321411384"/>
      <w:r w:rsidRPr="00D9024F">
        <w:rPr>
          <w:rFonts w:ascii="Arial" w:hAnsi="Arial" w:cs="Arial"/>
          <w:sz w:val="20"/>
          <w:szCs w:val="20"/>
        </w:rPr>
        <w:t xml:space="preserve">The Constitution of the People's Republic of Bangladesh </w:t>
      </w:r>
      <w:r w:rsidR="001848E0" w:rsidRPr="00D9024F">
        <w:rPr>
          <w:rFonts w:ascii="Arial" w:hAnsi="Arial" w:cs="Arial"/>
          <w:sz w:val="20"/>
          <w:szCs w:val="20"/>
        </w:rPr>
        <w:t>ensure</w:t>
      </w:r>
      <w:r w:rsidR="001848E0">
        <w:rPr>
          <w:rFonts w:ascii="Arial" w:hAnsi="Arial" w:cs="Arial"/>
          <w:sz w:val="20"/>
          <w:szCs w:val="20"/>
        </w:rPr>
        <w:t>s</w:t>
      </w:r>
      <w:r w:rsidRPr="00D9024F">
        <w:rPr>
          <w:rFonts w:ascii="Arial" w:hAnsi="Arial" w:cs="Arial"/>
          <w:sz w:val="20"/>
          <w:szCs w:val="20"/>
        </w:rPr>
        <w:t xml:space="preserve">that "Health is the basic right of every citizen of the Republic" as health is fundamental to human development. Bangladesh is committed to achieving the SDGs by 2030 and has been pursuing various programmes to translate the SDGs into reality.  </w:t>
      </w:r>
      <w:bookmarkEnd w:id="4"/>
      <w:r w:rsidRPr="00D9024F">
        <w:rPr>
          <w:rFonts w:ascii="Arial" w:hAnsi="Arial" w:cs="Arial"/>
          <w:sz w:val="20"/>
          <w:szCs w:val="20"/>
        </w:rPr>
        <w:t xml:space="preserve">The ‘Health, Population and Nutrition Sector Development Programme’ provides special focus on improving priority health services including Communicable Diseases in order to accelerate progress. The ‘Essential Services Package’ </w:t>
      </w:r>
      <w:r w:rsidR="001848E0">
        <w:rPr>
          <w:rFonts w:ascii="Arial" w:hAnsi="Arial" w:cs="Arial"/>
          <w:sz w:val="20"/>
          <w:szCs w:val="20"/>
        </w:rPr>
        <w:t>will be</w:t>
      </w:r>
      <w:r w:rsidRPr="00D9024F">
        <w:rPr>
          <w:rFonts w:ascii="Arial" w:hAnsi="Arial" w:cs="Arial"/>
          <w:sz w:val="20"/>
          <w:szCs w:val="20"/>
        </w:rPr>
        <w:t xml:space="preserve">provided in difficult to reach areas through appropriate arrangements with NGOs and community based organizations (CBOs) to overcome the shortage of public sector human resources on the basis of comparative advantages. </w:t>
      </w:r>
      <w:r w:rsidRPr="00D9024F">
        <w:rPr>
          <w:rFonts w:ascii="Arial" w:hAnsi="Arial" w:cs="Arial"/>
          <w:bCs/>
          <w:sz w:val="20"/>
          <w:szCs w:val="20"/>
          <w:lang w:val="en-US"/>
        </w:rPr>
        <w:t xml:space="preserve">The partnership between NMCP and the BRAC led consortium of 21 NGOs has been recognized both nationally and internationally as an example of best practice in collaboration between government and NGO sectors, strengthening and enhancing the malaria control programme. </w:t>
      </w:r>
    </w:p>
    <w:p w:rsidR="00C91073" w:rsidRPr="004C6532" w:rsidRDefault="00C91073" w:rsidP="00C91073">
      <w:pPr>
        <w:spacing w:after="120"/>
        <w:rPr>
          <w:rFonts w:ascii="Arial" w:hAnsi="Arial" w:cs="Arial"/>
          <w:sz w:val="20"/>
          <w:szCs w:val="20"/>
        </w:rPr>
      </w:pPr>
      <w:r w:rsidRPr="00D9024F">
        <w:rPr>
          <w:rFonts w:ascii="Arial" w:hAnsi="Arial" w:cs="Arial"/>
          <w:sz w:val="20"/>
          <w:szCs w:val="20"/>
        </w:rPr>
        <w:t xml:space="preserve">The </w:t>
      </w:r>
      <w:r w:rsidR="007C2AC9" w:rsidRPr="00D9024F">
        <w:rPr>
          <w:rFonts w:ascii="Arial" w:hAnsi="Arial" w:cs="Arial"/>
          <w:sz w:val="20"/>
          <w:szCs w:val="20"/>
        </w:rPr>
        <w:t>NMCP</w:t>
      </w:r>
      <w:r w:rsidRPr="00D9024F">
        <w:rPr>
          <w:rFonts w:ascii="Arial" w:hAnsi="Arial" w:cs="Arial"/>
          <w:sz w:val="20"/>
          <w:szCs w:val="20"/>
        </w:rPr>
        <w:t xml:space="preserve"> needs additional technical support to strengthen programme planning and implementation at central level. ‘Human resources’ (HR) is also a critical issue, especially in remote areas of the highly endemic CHT districts. Staff shortages and rapid </w:t>
      </w:r>
      <w:r w:rsidR="00B81CA0" w:rsidRPr="00D9024F">
        <w:rPr>
          <w:rFonts w:ascii="Arial" w:hAnsi="Arial" w:cs="Arial"/>
          <w:sz w:val="20"/>
          <w:szCs w:val="20"/>
        </w:rPr>
        <w:t xml:space="preserve">staff </w:t>
      </w:r>
      <w:r w:rsidRPr="00D9024F">
        <w:rPr>
          <w:rFonts w:ascii="Arial" w:hAnsi="Arial" w:cs="Arial"/>
          <w:sz w:val="20"/>
          <w:szCs w:val="20"/>
        </w:rPr>
        <w:t>turnover pose a serious threat to programme quality. This will be exacerbated by the increased demands associated with malaria elimination.  Staff motivation is low in some instances due to poor career plans, limited incentive packages, and sub-standard residential facilities. The Entomology Department is particularly weak. Existing vacancies for medical officers, staff nurses, laboratory technologists, entomologists and entomology technicians, as well as supervisory personnel in general, all need to be filled on an urgent basis. Community Clinics and Union Health Centres in hard-to-reach areas need to be strengthened to improve provision of malaria control services.</w:t>
      </w:r>
    </w:p>
    <w:p w:rsidR="00FE411C" w:rsidRPr="006B7572" w:rsidRDefault="00FE411C">
      <w:pPr>
        <w:rPr>
          <w:rFonts w:ascii="Arial" w:hAnsi="Arial" w:cs="Arial"/>
          <w:sz w:val="20"/>
          <w:szCs w:val="20"/>
          <w:lang w:val="en-US"/>
        </w:rPr>
      </w:pPr>
    </w:p>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9067"/>
      </w:tblGrid>
      <w:tr w:rsidR="00042DCA" w:rsidRPr="006B7572" w:rsidTr="00D80E39">
        <w:trPr>
          <w:trHeight w:val="557"/>
        </w:trPr>
        <w:tc>
          <w:tcPr>
            <w:tcW w:w="9067" w:type="dxa"/>
            <w:shd w:val="clear" w:color="auto" w:fill="C6D9F1"/>
            <w:vAlign w:val="center"/>
          </w:tcPr>
          <w:p w:rsidR="00042DCA" w:rsidRPr="006B7572" w:rsidRDefault="00042DCA" w:rsidP="00AB3764">
            <w:pPr>
              <w:spacing w:after="0" w:line="240" w:lineRule="auto"/>
              <w:rPr>
                <w:rFonts w:ascii="Arial" w:eastAsia="Calibri" w:hAnsi="Arial" w:cs="Arial"/>
                <w:sz w:val="20"/>
                <w:szCs w:val="20"/>
                <w:lang w:val="en-US"/>
              </w:rPr>
            </w:pPr>
            <w:r w:rsidRPr="006B7572">
              <w:rPr>
                <w:rFonts w:ascii="Arial" w:eastAsia="Calibri" w:hAnsi="Arial" w:cs="Arial"/>
                <w:b/>
                <w:bCs/>
                <w:sz w:val="20"/>
                <w:szCs w:val="20"/>
                <w:lang w:val="en-US"/>
              </w:rPr>
              <w:t xml:space="preserve">1.3  </w:t>
            </w:r>
            <w:r w:rsidRPr="006B7572">
              <w:rPr>
                <w:rFonts w:ascii="Arial" w:eastAsia="Calibri" w:hAnsi="Arial" w:cs="Arial"/>
                <w:b/>
                <w:sz w:val="20"/>
                <w:szCs w:val="20"/>
                <w:lang w:val="en-US"/>
              </w:rPr>
              <w:t xml:space="preserve">Past implementation and lessons-learned from Global Fund and other donor investments </w:t>
            </w:r>
          </w:p>
        </w:tc>
      </w:tr>
      <w:tr w:rsidR="00042DCA" w:rsidRPr="006B7572" w:rsidTr="00FE411C">
        <w:trPr>
          <w:trHeight w:val="3156"/>
        </w:trPr>
        <w:tc>
          <w:tcPr>
            <w:tcW w:w="9067" w:type="dxa"/>
            <w:shd w:val="clear" w:color="auto" w:fill="F2F2F2" w:themeFill="background1" w:themeFillShade="F2"/>
            <w:vAlign w:val="center"/>
          </w:tcPr>
          <w:p w:rsidR="00F57EBD" w:rsidRPr="006B7572" w:rsidRDefault="00F57EBD" w:rsidP="007205D8">
            <w:pPr>
              <w:pStyle w:val="ListParagraph"/>
              <w:numPr>
                <w:ilvl w:val="0"/>
                <w:numId w:val="6"/>
              </w:numPr>
              <w:spacing w:after="200" w:line="276" w:lineRule="auto"/>
              <w:jc w:val="both"/>
              <w:rPr>
                <w:rFonts w:ascii="Arial" w:eastAsia="Calibri" w:hAnsi="Arial" w:cs="Arial"/>
                <w:sz w:val="20"/>
                <w:szCs w:val="20"/>
                <w:lang w:val="en-US"/>
              </w:rPr>
            </w:pPr>
            <w:r w:rsidRPr="006B7572">
              <w:rPr>
                <w:rFonts w:ascii="Arial" w:eastAsia="Calibri" w:hAnsi="Arial" w:cs="Arial"/>
                <w:sz w:val="20"/>
                <w:szCs w:val="20"/>
                <w:lang w:val="en-US"/>
              </w:rPr>
              <w:t>List recent disease-specific Global Fund grants from the 2014-16 allocation period and summarize key lessons learned from their implementation.</w:t>
            </w:r>
          </w:p>
          <w:p w:rsidR="00F57EBD" w:rsidRPr="006B7572" w:rsidRDefault="00F57EBD" w:rsidP="007205D8">
            <w:pPr>
              <w:pStyle w:val="ListParagraph"/>
              <w:numPr>
                <w:ilvl w:val="0"/>
                <w:numId w:val="6"/>
              </w:numPr>
              <w:spacing w:after="200" w:line="276" w:lineRule="auto"/>
              <w:jc w:val="both"/>
              <w:rPr>
                <w:rFonts w:ascii="Arial" w:eastAsia="Calibri" w:hAnsi="Arial" w:cs="Arial"/>
                <w:sz w:val="20"/>
                <w:szCs w:val="20"/>
                <w:lang w:val="en-US"/>
              </w:rPr>
            </w:pPr>
            <w:r w:rsidRPr="006B7572">
              <w:rPr>
                <w:rFonts w:ascii="Arial" w:eastAsia="Calibri" w:hAnsi="Arial" w:cs="Arial"/>
                <w:sz w:val="20"/>
                <w:szCs w:val="20"/>
                <w:lang w:val="en-US"/>
              </w:rPr>
              <w:t>Include lessons-learned from specific HSS grants or any HSS investments embedded in the disease-specific grant(s) from the 2014-</w:t>
            </w:r>
            <w:r w:rsidR="00581C6F" w:rsidRPr="006B7572">
              <w:rPr>
                <w:rFonts w:ascii="Arial" w:eastAsia="Calibri" w:hAnsi="Arial" w:cs="Arial"/>
                <w:sz w:val="20"/>
                <w:szCs w:val="20"/>
                <w:lang w:val="en-US"/>
              </w:rPr>
              <w:t>1</w:t>
            </w:r>
            <w:r w:rsidRPr="006B7572">
              <w:rPr>
                <w:rFonts w:ascii="Arial" w:eastAsia="Calibri" w:hAnsi="Arial" w:cs="Arial"/>
                <w:sz w:val="20"/>
                <w:szCs w:val="20"/>
                <w:lang w:val="en-US"/>
              </w:rPr>
              <w:t>6 allocation period as applicable.</w:t>
            </w:r>
          </w:p>
          <w:p w:rsidR="00F57EBD" w:rsidRPr="006B7572" w:rsidRDefault="00F57EBD" w:rsidP="007205D8">
            <w:pPr>
              <w:pStyle w:val="ListParagraph"/>
              <w:numPr>
                <w:ilvl w:val="0"/>
                <w:numId w:val="6"/>
              </w:numPr>
              <w:spacing w:after="200" w:line="276" w:lineRule="auto"/>
              <w:jc w:val="both"/>
              <w:rPr>
                <w:rFonts w:ascii="Arial" w:eastAsia="Calibri" w:hAnsi="Arial" w:cs="Arial"/>
                <w:sz w:val="20"/>
                <w:szCs w:val="20"/>
                <w:lang w:val="en-US"/>
              </w:rPr>
            </w:pPr>
            <w:r w:rsidRPr="006B7572">
              <w:rPr>
                <w:rFonts w:ascii="Arial" w:eastAsia="Calibri" w:hAnsi="Arial" w:cs="Arial"/>
                <w:sz w:val="20"/>
                <w:szCs w:val="20"/>
                <w:lang w:val="en-US"/>
              </w:rPr>
              <w:t xml:space="preserve">Outline lessons learned from investments by other donors as applicable. </w:t>
            </w:r>
          </w:p>
          <w:p w:rsidR="00F57EBD" w:rsidRPr="006B7572" w:rsidRDefault="00F57EBD" w:rsidP="00142F1D">
            <w:pPr>
              <w:spacing w:after="200" w:line="276" w:lineRule="auto"/>
              <w:jc w:val="both"/>
              <w:rPr>
                <w:rFonts w:ascii="Arial" w:eastAsia="Calibri" w:hAnsi="Arial" w:cs="Arial"/>
                <w:sz w:val="20"/>
                <w:szCs w:val="20"/>
                <w:lang w:val="en-US"/>
              </w:rPr>
            </w:pPr>
            <w:r w:rsidRPr="006B7572">
              <w:rPr>
                <w:rFonts w:ascii="Arial" w:eastAsia="Calibri" w:hAnsi="Arial" w:cs="Arial"/>
                <w:sz w:val="20"/>
                <w:szCs w:val="20"/>
                <w:lang w:val="en-US"/>
              </w:rPr>
              <w:t xml:space="preserve">For each of the above, explain how these lessons learned are taken into account in this funding request. </w:t>
            </w:r>
          </w:p>
          <w:p w:rsidR="00042DCA" w:rsidRPr="006B7572" w:rsidRDefault="001631BD" w:rsidP="00142F1D">
            <w:pPr>
              <w:spacing w:after="0"/>
              <w:rPr>
                <w:rFonts w:ascii="Arial" w:eastAsia="Calibri" w:hAnsi="Arial" w:cs="Arial"/>
                <w:sz w:val="20"/>
                <w:szCs w:val="20"/>
                <w:lang w:val="en-US"/>
              </w:rPr>
            </w:pPr>
            <w:r w:rsidRPr="006B7572">
              <w:rPr>
                <w:rFonts w:ascii="Arial" w:eastAsia="Calibri" w:hAnsi="Arial" w:cs="Arial"/>
                <w:b/>
                <w:sz w:val="20"/>
                <w:szCs w:val="20"/>
                <w:lang w:val="en-US"/>
              </w:rPr>
              <w:t>(maximum</w:t>
            </w:r>
            <w:r w:rsidR="00042DCA" w:rsidRPr="006B7572">
              <w:rPr>
                <w:rFonts w:ascii="Arial" w:eastAsia="Calibri" w:hAnsi="Arial" w:cs="Arial"/>
                <w:b/>
                <w:sz w:val="20"/>
                <w:szCs w:val="20"/>
                <w:lang w:val="en-US"/>
              </w:rPr>
              <w:t xml:space="preserve"> 1 page per component)</w:t>
            </w:r>
          </w:p>
        </w:tc>
      </w:tr>
    </w:tbl>
    <w:p w:rsidR="00042DCA" w:rsidRPr="006B7572" w:rsidRDefault="00042DCA" w:rsidP="00042DCA">
      <w:pPr>
        <w:spacing w:after="0"/>
        <w:rPr>
          <w:rFonts w:ascii="Arial" w:hAnsi="Arial" w:cs="Arial"/>
          <w:sz w:val="20"/>
          <w:szCs w:val="20"/>
        </w:rPr>
      </w:pPr>
    </w:p>
    <w:p w:rsidR="00E72482" w:rsidRDefault="002D19E8" w:rsidP="00AB2EE4">
      <w:pPr>
        <w:spacing w:after="0"/>
        <w:rPr>
          <w:rFonts w:ascii="Arial" w:hAnsi="Arial" w:cs="Arial"/>
          <w:sz w:val="20"/>
          <w:szCs w:val="20"/>
        </w:rPr>
      </w:pPr>
      <w:r w:rsidRPr="006B7572">
        <w:rPr>
          <w:rFonts w:ascii="Arial" w:hAnsi="Arial" w:cs="Arial"/>
          <w:sz w:val="20"/>
          <w:szCs w:val="20"/>
        </w:rPr>
        <w:t>[</w:t>
      </w:r>
      <w:r w:rsidR="00042DCA" w:rsidRPr="006B7572">
        <w:rPr>
          <w:rFonts w:ascii="Arial" w:hAnsi="Arial" w:cs="Arial"/>
          <w:i/>
          <w:sz w:val="20"/>
          <w:szCs w:val="20"/>
        </w:rPr>
        <w:t>Applicant response</w:t>
      </w:r>
      <w:r w:rsidRPr="006B7572">
        <w:rPr>
          <w:rFonts w:ascii="Arial" w:hAnsi="Arial" w:cs="Arial"/>
          <w:sz w:val="20"/>
          <w:szCs w:val="20"/>
        </w:rPr>
        <w:t>]</w:t>
      </w:r>
      <w:r w:rsidR="00042DCA" w:rsidRPr="006B7572">
        <w:rPr>
          <w:rFonts w:ascii="Arial" w:hAnsi="Arial" w:cs="Arial"/>
          <w:sz w:val="20"/>
          <w:szCs w:val="20"/>
        </w:rPr>
        <w:t>:</w:t>
      </w:r>
    </w:p>
    <w:p w:rsidR="00FB22F6" w:rsidRDefault="00FB22F6" w:rsidP="00AB2EE4">
      <w:pPr>
        <w:spacing w:after="0"/>
        <w:rPr>
          <w:rFonts w:ascii="Arial" w:hAnsi="Arial" w:cs="Arial"/>
          <w:sz w:val="20"/>
          <w:szCs w:val="20"/>
        </w:rPr>
      </w:pPr>
    </w:p>
    <w:p w:rsidR="00FB22F6" w:rsidRDefault="00FB22F6" w:rsidP="00AB2EE4">
      <w:pPr>
        <w:spacing w:after="0"/>
        <w:rPr>
          <w:rFonts w:ascii="Arial" w:hAnsi="Arial" w:cs="Arial"/>
          <w:sz w:val="20"/>
          <w:szCs w:val="20"/>
        </w:rPr>
      </w:pPr>
    </w:p>
    <w:p w:rsidR="00FB22F6" w:rsidRDefault="00FB22F6" w:rsidP="00AB2EE4">
      <w:pPr>
        <w:spacing w:after="0"/>
        <w:rPr>
          <w:rFonts w:ascii="Arial" w:hAnsi="Arial" w:cs="Arial"/>
          <w:sz w:val="20"/>
          <w:szCs w:val="20"/>
        </w:rPr>
      </w:pPr>
    </w:p>
    <w:p w:rsidR="00FA0DAF" w:rsidRDefault="00FA0DAF" w:rsidP="00AB2EE4">
      <w:pPr>
        <w:spacing w:after="0"/>
        <w:rPr>
          <w:rFonts w:ascii="Arial" w:hAnsi="Arial" w:cs="Arial"/>
          <w:sz w:val="20"/>
          <w:szCs w:val="20"/>
        </w:rPr>
      </w:pPr>
    </w:p>
    <w:p w:rsidR="00FA0DAF" w:rsidRPr="004C0526" w:rsidRDefault="00FA0DAF" w:rsidP="00FA0DAF">
      <w:pPr>
        <w:rPr>
          <w:rFonts w:ascii="Arial" w:hAnsi="Arial" w:cs="Arial"/>
          <w:b/>
          <w:sz w:val="20"/>
          <w:szCs w:val="20"/>
        </w:rPr>
      </w:pPr>
      <w:r w:rsidRPr="004C0526">
        <w:rPr>
          <w:rFonts w:ascii="Arial" w:hAnsi="Arial" w:cs="Arial"/>
          <w:b/>
          <w:sz w:val="20"/>
          <w:szCs w:val="20"/>
        </w:rPr>
        <w:lastRenderedPageBreak/>
        <w:t>Table 1.3. Recent GFATM grants for malaria in Bangladesh.</w:t>
      </w:r>
    </w:p>
    <w:tbl>
      <w:tblPr>
        <w:tblStyle w:val="TableGrid"/>
        <w:tblW w:w="0" w:type="auto"/>
        <w:jc w:val="center"/>
        <w:tblLook w:val="04A0"/>
      </w:tblPr>
      <w:tblGrid>
        <w:gridCol w:w="444"/>
        <w:gridCol w:w="1251"/>
        <w:gridCol w:w="2823"/>
        <w:gridCol w:w="2362"/>
        <w:gridCol w:w="2362"/>
      </w:tblGrid>
      <w:tr w:rsidR="00FA0DAF" w:rsidRPr="00FB22F6" w:rsidTr="00C132E8">
        <w:trPr>
          <w:jc w:val="center"/>
        </w:trPr>
        <w:tc>
          <w:tcPr>
            <w:tcW w:w="445" w:type="dxa"/>
          </w:tcPr>
          <w:p w:rsidR="00FA0DAF" w:rsidRPr="004C0526" w:rsidRDefault="00FA0DAF" w:rsidP="00C132E8">
            <w:pPr>
              <w:jc w:val="center"/>
              <w:rPr>
                <w:rFonts w:ascii="Arial" w:hAnsi="Arial"/>
              </w:rPr>
            </w:pPr>
            <w:r w:rsidRPr="004C0526">
              <w:rPr>
                <w:rFonts w:ascii="Arial" w:hAnsi="Arial"/>
              </w:rPr>
              <w:t>Sl</w:t>
            </w:r>
          </w:p>
        </w:tc>
        <w:tc>
          <w:tcPr>
            <w:tcW w:w="1260" w:type="dxa"/>
          </w:tcPr>
          <w:p w:rsidR="00FA0DAF" w:rsidRPr="004C0526" w:rsidRDefault="00FA0DAF" w:rsidP="00C132E8">
            <w:pPr>
              <w:jc w:val="center"/>
              <w:rPr>
                <w:rFonts w:ascii="Arial" w:hAnsi="Arial"/>
              </w:rPr>
            </w:pPr>
            <w:r w:rsidRPr="004C0526">
              <w:rPr>
                <w:rFonts w:ascii="Arial" w:hAnsi="Arial"/>
              </w:rPr>
              <w:t>Grants</w:t>
            </w:r>
          </w:p>
        </w:tc>
        <w:tc>
          <w:tcPr>
            <w:tcW w:w="2863" w:type="dxa"/>
          </w:tcPr>
          <w:p w:rsidR="00FA0DAF" w:rsidRPr="004C0526" w:rsidRDefault="00FA0DAF" w:rsidP="00C132E8">
            <w:pPr>
              <w:jc w:val="center"/>
              <w:rPr>
                <w:rFonts w:ascii="Arial" w:hAnsi="Arial"/>
              </w:rPr>
            </w:pPr>
            <w:r w:rsidRPr="004C0526">
              <w:rPr>
                <w:rFonts w:ascii="Arial" w:hAnsi="Arial"/>
              </w:rPr>
              <w:t>Period</w:t>
            </w:r>
          </w:p>
        </w:tc>
        <w:tc>
          <w:tcPr>
            <w:tcW w:w="2391" w:type="dxa"/>
          </w:tcPr>
          <w:p w:rsidR="00FA0DAF" w:rsidRPr="004C0526" w:rsidRDefault="00FA0DAF" w:rsidP="00C132E8">
            <w:pPr>
              <w:jc w:val="center"/>
              <w:rPr>
                <w:rFonts w:ascii="Arial" w:hAnsi="Arial"/>
              </w:rPr>
            </w:pPr>
            <w:r w:rsidRPr="004C0526">
              <w:rPr>
                <w:rFonts w:ascii="Arial" w:hAnsi="Arial"/>
              </w:rPr>
              <w:t>Grant number – PR1 MoF</w:t>
            </w:r>
          </w:p>
        </w:tc>
        <w:tc>
          <w:tcPr>
            <w:tcW w:w="2391" w:type="dxa"/>
          </w:tcPr>
          <w:p w:rsidR="00FA0DAF" w:rsidRPr="004C0526" w:rsidRDefault="00FA0DAF" w:rsidP="00C132E8">
            <w:pPr>
              <w:jc w:val="center"/>
              <w:rPr>
                <w:rFonts w:ascii="Arial" w:hAnsi="Arial"/>
              </w:rPr>
            </w:pPr>
            <w:r w:rsidRPr="004C0526">
              <w:rPr>
                <w:rFonts w:ascii="Arial" w:hAnsi="Arial"/>
              </w:rPr>
              <w:t>Grant number – PR2 BRAC</w:t>
            </w:r>
          </w:p>
        </w:tc>
      </w:tr>
      <w:tr w:rsidR="00FA0DAF" w:rsidRPr="00FB22F6" w:rsidTr="00C132E8">
        <w:trPr>
          <w:trHeight w:val="431"/>
          <w:jc w:val="center"/>
        </w:trPr>
        <w:tc>
          <w:tcPr>
            <w:tcW w:w="445" w:type="dxa"/>
          </w:tcPr>
          <w:p w:rsidR="00FA0DAF" w:rsidRPr="004C0526" w:rsidRDefault="00FA0DAF" w:rsidP="00C132E8">
            <w:pPr>
              <w:jc w:val="center"/>
              <w:rPr>
                <w:rFonts w:ascii="Arial" w:hAnsi="Arial"/>
              </w:rPr>
            </w:pPr>
            <w:r w:rsidRPr="004C0526">
              <w:rPr>
                <w:rFonts w:ascii="Arial" w:hAnsi="Arial"/>
              </w:rPr>
              <w:t>1</w:t>
            </w:r>
          </w:p>
        </w:tc>
        <w:tc>
          <w:tcPr>
            <w:tcW w:w="1260" w:type="dxa"/>
            <w:vAlign w:val="center"/>
          </w:tcPr>
          <w:p w:rsidR="00FA0DAF" w:rsidRPr="004C0526" w:rsidRDefault="00FA0DAF" w:rsidP="00C132E8">
            <w:pPr>
              <w:jc w:val="center"/>
              <w:rPr>
                <w:rFonts w:ascii="Arial" w:hAnsi="Arial"/>
              </w:rPr>
            </w:pPr>
            <w:r w:rsidRPr="004C0526">
              <w:rPr>
                <w:rFonts w:ascii="Arial" w:hAnsi="Arial"/>
              </w:rPr>
              <w:t>Round 6</w:t>
            </w:r>
          </w:p>
        </w:tc>
        <w:tc>
          <w:tcPr>
            <w:tcW w:w="2863" w:type="dxa"/>
          </w:tcPr>
          <w:p w:rsidR="00FA0DAF" w:rsidRPr="004C0526" w:rsidRDefault="00FA0DAF" w:rsidP="00C132E8">
            <w:pPr>
              <w:jc w:val="center"/>
              <w:rPr>
                <w:rFonts w:ascii="Arial" w:hAnsi="Arial"/>
              </w:rPr>
            </w:pPr>
            <w:r w:rsidRPr="004C0526">
              <w:rPr>
                <w:rFonts w:ascii="Arial" w:hAnsi="Arial"/>
              </w:rPr>
              <w:t xml:space="preserve">May / June 2007 – Jun 2010 </w:t>
            </w:r>
          </w:p>
        </w:tc>
        <w:tc>
          <w:tcPr>
            <w:tcW w:w="2391" w:type="dxa"/>
          </w:tcPr>
          <w:p w:rsidR="00FA0DAF" w:rsidRPr="004C0526" w:rsidRDefault="00FA0DAF" w:rsidP="00C132E8">
            <w:pPr>
              <w:jc w:val="center"/>
              <w:rPr>
                <w:rFonts w:ascii="Arial" w:hAnsi="Arial"/>
              </w:rPr>
            </w:pPr>
            <w:r w:rsidRPr="004C0526">
              <w:rPr>
                <w:rFonts w:ascii="Arial" w:hAnsi="Arial"/>
              </w:rPr>
              <w:t>BAN-607-G07-M</w:t>
            </w:r>
          </w:p>
        </w:tc>
        <w:tc>
          <w:tcPr>
            <w:tcW w:w="2391" w:type="dxa"/>
          </w:tcPr>
          <w:p w:rsidR="00FA0DAF" w:rsidRPr="004C0526" w:rsidRDefault="00FA0DAF" w:rsidP="00C132E8">
            <w:pPr>
              <w:jc w:val="center"/>
              <w:rPr>
                <w:rFonts w:ascii="Arial" w:hAnsi="Arial"/>
              </w:rPr>
            </w:pPr>
            <w:r w:rsidRPr="004C0526">
              <w:rPr>
                <w:rFonts w:ascii="Arial" w:hAnsi="Arial"/>
              </w:rPr>
              <w:t>BAN-607-G06-M</w:t>
            </w:r>
          </w:p>
        </w:tc>
      </w:tr>
      <w:tr w:rsidR="00FA0DAF" w:rsidRPr="00FB22F6" w:rsidTr="00C132E8">
        <w:trPr>
          <w:jc w:val="center"/>
        </w:trPr>
        <w:tc>
          <w:tcPr>
            <w:tcW w:w="445" w:type="dxa"/>
          </w:tcPr>
          <w:p w:rsidR="00FA0DAF" w:rsidRPr="004C0526" w:rsidRDefault="00FA0DAF" w:rsidP="00C132E8">
            <w:pPr>
              <w:jc w:val="center"/>
              <w:rPr>
                <w:rFonts w:ascii="Arial" w:hAnsi="Arial"/>
              </w:rPr>
            </w:pPr>
            <w:r w:rsidRPr="004C0526">
              <w:rPr>
                <w:rFonts w:ascii="Arial" w:hAnsi="Arial"/>
              </w:rPr>
              <w:t>2</w:t>
            </w:r>
          </w:p>
        </w:tc>
        <w:tc>
          <w:tcPr>
            <w:tcW w:w="1260" w:type="dxa"/>
            <w:vAlign w:val="center"/>
          </w:tcPr>
          <w:p w:rsidR="00FA0DAF" w:rsidRPr="004C0526" w:rsidRDefault="00FA0DAF" w:rsidP="00C132E8">
            <w:pPr>
              <w:jc w:val="center"/>
              <w:rPr>
                <w:rFonts w:ascii="Arial" w:hAnsi="Arial"/>
              </w:rPr>
            </w:pPr>
            <w:r w:rsidRPr="004C0526">
              <w:rPr>
                <w:rFonts w:ascii="Arial" w:hAnsi="Arial"/>
              </w:rPr>
              <w:t>Round 9 SSF</w:t>
            </w:r>
          </w:p>
        </w:tc>
        <w:tc>
          <w:tcPr>
            <w:tcW w:w="2863" w:type="dxa"/>
          </w:tcPr>
          <w:p w:rsidR="00FA0DAF" w:rsidRPr="004C0526" w:rsidRDefault="00FA0DAF" w:rsidP="00C132E8">
            <w:pPr>
              <w:jc w:val="center"/>
              <w:rPr>
                <w:rFonts w:ascii="Arial" w:hAnsi="Arial"/>
              </w:rPr>
            </w:pPr>
            <w:r w:rsidRPr="004C0526">
              <w:rPr>
                <w:rFonts w:ascii="Arial" w:hAnsi="Arial"/>
              </w:rPr>
              <w:t>Jul 2010 – Jun 2015</w:t>
            </w:r>
          </w:p>
        </w:tc>
        <w:tc>
          <w:tcPr>
            <w:tcW w:w="2391" w:type="dxa"/>
          </w:tcPr>
          <w:p w:rsidR="00FA0DAF" w:rsidRPr="004C0526" w:rsidRDefault="00FA0DAF" w:rsidP="00C132E8">
            <w:pPr>
              <w:jc w:val="center"/>
              <w:rPr>
                <w:rFonts w:ascii="Arial" w:hAnsi="Arial"/>
              </w:rPr>
            </w:pPr>
            <w:r w:rsidRPr="004C0526">
              <w:rPr>
                <w:rFonts w:ascii="Arial" w:hAnsi="Arial"/>
              </w:rPr>
              <w:t xml:space="preserve">BAN-S10-G14-M </w:t>
            </w:r>
          </w:p>
          <w:p w:rsidR="00FA0DAF" w:rsidRPr="004C0526" w:rsidRDefault="00FA0DAF" w:rsidP="00C132E8">
            <w:pPr>
              <w:jc w:val="center"/>
              <w:rPr>
                <w:rFonts w:ascii="Arial" w:hAnsi="Arial"/>
              </w:rPr>
            </w:pPr>
            <w:r w:rsidRPr="004C0526">
              <w:rPr>
                <w:rFonts w:ascii="Arial" w:hAnsi="Arial"/>
              </w:rPr>
              <w:t>Later on, BAN-M-NMCP</w:t>
            </w:r>
          </w:p>
        </w:tc>
        <w:tc>
          <w:tcPr>
            <w:tcW w:w="2391" w:type="dxa"/>
          </w:tcPr>
          <w:p w:rsidR="00FA0DAF" w:rsidRPr="004C0526" w:rsidRDefault="00FA0DAF" w:rsidP="00C132E8">
            <w:pPr>
              <w:jc w:val="center"/>
              <w:rPr>
                <w:rFonts w:ascii="Arial" w:hAnsi="Arial"/>
              </w:rPr>
            </w:pPr>
            <w:r w:rsidRPr="004C0526">
              <w:rPr>
                <w:rFonts w:ascii="Arial" w:hAnsi="Arial"/>
              </w:rPr>
              <w:t>BAN-S10-G15-M</w:t>
            </w:r>
          </w:p>
          <w:p w:rsidR="00FA0DAF" w:rsidRPr="004C0526" w:rsidRDefault="00FA0DAF" w:rsidP="00C132E8">
            <w:pPr>
              <w:jc w:val="center"/>
              <w:rPr>
                <w:rFonts w:ascii="Arial" w:hAnsi="Arial"/>
              </w:rPr>
            </w:pPr>
            <w:r w:rsidRPr="004C0526">
              <w:rPr>
                <w:rFonts w:ascii="Arial" w:hAnsi="Arial"/>
                <w:i/>
              </w:rPr>
              <w:t>Later</w:t>
            </w:r>
            <w:r w:rsidRPr="004C0526">
              <w:rPr>
                <w:rFonts w:ascii="Arial" w:hAnsi="Arial"/>
              </w:rPr>
              <w:t xml:space="preserve"> on, BAN-M-BRAC</w:t>
            </w:r>
          </w:p>
        </w:tc>
      </w:tr>
      <w:tr w:rsidR="00FA0DAF" w:rsidRPr="00FB22F6" w:rsidTr="00C132E8">
        <w:trPr>
          <w:trHeight w:val="521"/>
          <w:jc w:val="center"/>
        </w:trPr>
        <w:tc>
          <w:tcPr>
            <w:tcW w:w="445" w:type="dxa"/>
          </w:tcPr>
          <w:p w:rsidR="00FA0DAF" w:rsidRPr="004C0526" w:rsidRDefault="00FA0DAF" w:rsidP="00C132E8">
            <w:pPr>
              <w:jc w:val="center"/>
              <w:rPr>
                <w:rFonts w:ascii="Arial" w:hAnsi="Arial"/>
              </w:rPr>
            </w:pPr>
            <w:r w:rsidRPr="004C0526">
              <w:rPr>
                <w:rFonts w:ascii="Arial" w:hAnsi="Arial"/>
              </w:rPr>
              <w:t>3</w:t>
            </w:r>
          </w:p>
        </w:tc>
        <w:tc>
          <w:tcPr>
            <w:tcW w:w="1260" w:type="dxa"/>
            <w:vAlign w:val="center"/>
          </w:tcPr>
          <w:p w:rsidR="00FA0DAF" w:rsidRPr="004C0526" w:rsidRDefault="00FA0DAF" w:rsidP="00C132E8">
            <w:pPr>
              <w:jc w:val="center"/>
              <w:rPr>
                <w:rFonts w:ascii="Arial" w:hAnsi="Arial"/>
              </w:rPr>
            </w:pPr>
            <w:r w:rsidRPr="004C0526">
              <w:rPr>
                <w:rFonts w:ascii="Arial" w:hAnsi="Arial"/>
              </w:rPr>
              <w:t>NFM</w:t>
            </w:r>
          </w:p>
        </w:tc>
        <w:tc>
          <w:tcPr>
            <w:tcW w:w="2863" w:type="dxa"/>
          </w:tcPr>
          <w:p w:rsidR="00FA0DAF" w:rsidRPr="004C0526" w:rsidRDefault="00FA0DAF" w:rsidP="00C132E8">
            <w:pPr>
              <w:jc w:val="center"/>
              <w:rPr>
                <w:rFonts w:ascii="Arial" w:hAnsi="Arial"/>
              </w:rPr>
            </w:pPr>
            <w:r w:rsidRPr="004C0526">
              <w:rPr>
                <w:rFonts w:ascii="Arial" w:hAnsi="Arial"/>
              </w:rPr>
              <w:t>Jul 2015 – Dec 2017</w:t>
            </w:r>
          </w:p>
        </w:tc>
        <w:tc>
          <w:tcPr>
            <w:tcW w:w="2391" w:type="dxa"/>
          </w:tcPr>
          <w:p w:rsidR="00FA0DAF" w:rsidRPr="004C0526" w:rsidRDefault="00FA0DAF" w:rsidP="00C132E8">
            <w:pPr>
              <w:jc w:val="center"/>
              <w:rPr>
                <w:rFonts w:ascii="Arial" w:hAnsi="Arial"/>
              </w:rPr>
            </w:pPr>
            <w:r w:rsidRPr="004C0526">
              <w:rPr>
                <w:rFonts w:ascii="Arial" w:hAnsi="Arial"/>
              </w:rPr>
              <w:t>BGD-M-NMCP</w:t>
            </w:r>
          </w:p>
        </w:tc>
        <w:tc>
          <w:tcPr>
            <w:tcW w:w="2391" w:type="dxa"/>
          </w:tcPr>
          <w:p w:rsidR="00FA0DAF" w:rsidRPr="004C0526" w:rsidRDefault="00FA0DAF" w:rsidP="00C132E8">
            <w:pPr>
              <w:jc w:val="center"/>
              <w:rPr>
                <w:rFonts w:ascii="Arial" w:hAnsi="Arial"/>
              </w:rPr>
            </w:pPr>
            <w:r w:rsidRPr="004C0526">
              <w:rPr>
                <w:rFonts w:ascii="Arial" w:hAnsi="Arial"/>
              </w:rPr>
              <w:t>BGD-M-BRAC</w:t>
            </w:r>
          </w:p>
        </w:tc>
      </w:tr>
    </w:tbl>
    <w:p w:rsidR="00FA0DAF" w:rsidRPr="00FB22F6" w:rsidRDefault="00FA0DAF" w:rsidP="00AB2EE4">
      <w:pPr>
        <w:spacing w:after="0"/>
        <w:rPr>
          <w:rFonts w:ascii="Arial" w:hAnsi="Arial" w:cs="Arial"/>
          <w:sz w:val="20"/>
          <w:szCs w:val="20"/>
        </w:rPr>
      </w:pPr>
    </w:p>
    <w:p w:rsidR="001A38D3" w:rsidRPr="00FB22F6" w:rsidRDefault="00F503E3" w:rsidP="00784569">
      <w:pPr>
        <w:rPr>
          <w:rFonts w:ascii="Arial" w:hAnsi="Arial" w:cs="Arial"/>
          <w:color w:val="FF0000"/>
          <w:sz w:val="20"/>
          <w:szCs w:val="20"/>
        </w:rPr>
      </w:pPr>
      <w:r w:rsidRPr="00FB22F6">
        <w:rPr>
          <w:rFonts w:ascii="Arial" w:hAnsi="Arial" w:cs="Arial"/>
          <w:sz w:val="20"/>
          <w:szCs w:val="20"/>
        </w:rPr>
        <w:t xml:space="preserve">a). </w:t>
      </w:r>
      <w:r w:rsidR="003F5ACD" w:rsidRPr="00FB22F6">
        <w:rPr>
          <w:rFonts w:ascii="Arial" w:hAnsi="Arial" w:cs="Arial"/>
          <w:sz w:val="20"/>
          <w:szCs w:val="20"/>
        </w:rPr>
        <w:t>Recent m</w:t>
      </w:r>
      <w:r w:rsidR="00F40BB3" w:rsidRPr="00FB22F6">
        <w:rPr>
          <w:rFonts w:ascii="Arial" w:hAnsi="Arial" w:cs="Arial"/>
          <w:sz w:val="20"/>
          <w:szCs w:val="20"/>
        </w:rPr>
        <w:t xml:space="preserve">alaria </w:t>
      </w:r>
      <w:r w:rsidR="003F5ACD" w:rsidRPr="00FB22F6">
        <w:rPr>
          <w:rFonts w:ascii="Arial" w:hAnsi="Arial" w:cs="Arial"/>
          <w:sz w:val="20"/>
          <w:szCs w:val="20"/>
        </w:rPr>
        <w:t>g</w:t>
      </w:r>
      <w:r w:rsidR="00F40BB3" w:rsidRPr="00FB22F6">
        <w:rPr>
          <w:rFonts w:ascii="Arial" w:hAnsi="Arial" w:cs="Arial"/>
          <w:sz w:val="20"/>
          <w:szCs w:val="20"/>
        </w:rPr>
        <w:t>rant</w:t>
      </w:r>
      <w:r w:rsidR="003F5ACD" w:rsidRPr="00FB22F6">
        <w:rPr>
          <w:rFonts w:ascii="Arial" w:hAnsi="Arial" w:cs="Arial"/>
          <w:sz w:val="20"/>
          <w:szCs w:val="20"/>
        </w:rPr>
        <w:t>s</w:t>
      </w:r>
      <w:r w:rsidR="00FA0DAF" w:rsidRPr="00FB22F6">
        <w:rPr>
          <w:rFonts w:ascii="Arial" w:hAnsi="Arial" w:cs="Arial"/>
          <w:sz w:val="20"/>
          <w:szCs w:val="20"/>
        </w:rPr>
        <w:t>are presented in table 1.3 above</w:t>
      </w:r>
      <w:r w:rsidR="00F40BB3" w:rsidRPr="00FB22F6">
        <w:rPr>
          <w:rFonts w:ascii="Arial" w:hAnsi="Arial" w:cs="Arial"/>
          <w:sz w:val="20"/>
          <w:szCs w:val="20"/>
        </w:rPr>
        <w:t xml:space="preserve">.Many </w:t>
      </w:r>
      <w:r w:rsidR="00784569" w:rsidRPr="00FB22F6">
        <w:rPr>
          <w:rFonts w:ascii="Arial" w:hAnsi="Arial" w:cs="Arial"/>
          <w:sz w:val="20"/>
          <w:szCs w:val="20"/>
        </w:rPr>
        <w:t xml:space="preserve">lessons have been learned during this period. Those most pertinent to the development of this funding request are summarized </w:t>
      </w:r>
      <w:r w:rsidR="001A38D3" w:rsidRPr="00FB22F6">
        <w:rPr>
          <w:rFonts w:ascii="Arial" w:hAnsi="Arial" w:cs="Arial"/>
          <w:sz w:val="20"/>
          <w:szCs w:val="20"/>
        </w:rPr>
        <w:t xml:space="preserve">as issues and recommendations </w:t>
      </w:r>
      <w:r w:rsidR="00784569" w:rsidRPr="00FB22F6">
        <w:rPr>
          <w:rFonts w:ascii="Arial" w:hAnsi="Arial" w:cs="Arial"/>
          <w:sz w:val="20"/>
          <w:szCs w:val="20"/>
        </w:rPr>
        <w:t>in slides 34 to 59 of the annex ‘</w:t>
      </w:r>
      <w:r w:rsidR="00784569" w:rsidRPr="00FB22F6">
        <w:rPr>
          <w:rFonts w:ascii="Arial" w:eastAsia="Calibri" w:hAnsi="Arial" w:cs="Arial"/>
          <w:bCs/>
          <w:iCs/>
          <w:sz w:val="20"/>
          <w:szCs w:val="20"/>
          <w:lang w:val="en-US"/>
        </w:rPr>
        <w:t>JMM3 - PowerPoint presentation - 5 December 2016’.</w:t>
      </w:r>
      <w:r w:rsidR="00784569" w:rsidRPr="00FB22F6">
        <w:rPr>
          <w:rFonts w:ascii="Arial" w:hAnsi="Arial" w:cs="Arial"/>
          <w:sz w:val="20"/>
          <w:szCs w:val="20"/>
        </w:rPr>
        <w:t xml:space="preserve">  The</w:t>
      </w:r>
      <w:r w:rsidR="001A38D3" w:rsidRPr="00FB22F6">
        <w:rPr>
          <w:rFonts w:ascii="Arial" w:hAnsi="Arial" w:cs="Arial"/>
          <w:sz w:val="20"/>
          <w:szCs w:val="20"/>
        </w:rPr>
        <w:t xml:space="preserve">y </w:t>
      </w:r>
      <w:r w:rsidR="00784569" w:rsidRPr="00FB22F6">
        <w:rPr>
          <w:rFonts w:ascii="Arial" w:hAnsi="Arial" w:cs="Arial"/>
          <w:sz w:val="20"/>
          <w:szCs w:val="20"/>
        </w:rPr>
        <w:t xml:space="preserve">relate to </w:t>
      </w:r>
      <w:r w:rsidR="001A38D3" w:rsidRPr="00FB22F6">
        <w:rPr>
          <w:rFonts w:ascii="Arial" w:hAnsi="Arial" w:cs="Arial"/>
          <w:sz w:val="20"/>
          <w:szCs w:val="20"/>
        </w:rPr>
        <w:t>a broad</w:t>
      </w:r>
      <w:r w:rsidR="00784569" w:rsidRPr="00FB22F6">
        <w:rPr>
          <w:rFonts w:ascii="Arial" w:hAnsi="Arial" w:cs="Arial"/>
          <w:sz w:val="20"/>
          <w:szCs w:val="20"/>
        </w:rPr>
        <w:t xml:space="preserve"> spectrum of programme </w:t>
      </w:r>
      <w:r w:rsidR="001A38D3" w:rsidRPr="00FB22F6">
        <w:rPr>
          <w:rFonts w:ascii="Arial" w:hAnsi="Arial" w:cs="Arial"/>
          <w:sz w:val="20"/>
          <w:szCs w:val="20"/>
        </w:rPr>
        <w:t>activities</w:t>
      </w:r>
      <w:r w:rsidR="00784569" w:rsidRPr="00FB22F6">
        <w:rPr>
          <w:rFonts w:ascii="Arial" w:hAnsi="Arial" w:cs="Arial"/>
          <w:sz w:val="20"/>
          <w:szCs w:val="20"/>
        </w:rPr>
        <w:t>. In summary</w:t>
      </w:r>
      <w:r w:rsidR="00E72482" w:rsidRPr="00FB22F6">
        <w:rPr>
          <w:rFonts w:ascii="Arial" w:hAnsi="Arial" w:cs="Arial"/>
          <w:sz w:val="20"/>
          <w:szCs w:val="20"/>
        </w:rPr>
        <w:t>:</w:t>
      </w:r>
    </w:p>
    <w:p w:rsidR="0065486D" w:rsidRPr="00FB22F6" w:rsidRDefault="0065486D" w:rsidP="007205D8">
      <w:pPr>
        <w:numPr>
          <w:ilvl w:val="0"/>
          <w:numId w:val="11"/>
        </w:numPr>
        <w:tabs>
          <w:tab w:val="num" w:pos="720"/>
        </w:tabs>
        <w:spacing w:after="0" w:line="240" w:lineRule="auto"/>
        <w:ind w:left="357" w:hanging="357"/>
        <w:rPr>
          <w:rFonts w:ascii="Arial" w:hAnsi="Arial" w:cs="Arial"/>
          <w:sz w:val="20"/>
          <w:szCs w:val="20"/>
        </w:rPr>
      </w:pPr>
      <w:r w:rsidRPr="00FB22F6">
        <w:rPr>
          <w:rFonts w:ascii="Arial" w:hAnsi="Arial" w:cs="Arial"/>
          <w:sz w:val="20"/>
          <w:szCs w:val="20"/>
          <w:lang w:val="en-US"/>
        </w:rPr>
        <w:t xml:space="preserve">Staff are </w:t>
      </w:r>
      <w:r w:rsidR="00BB21B6" w:rsidRPr="00FB22F6">
        <w:rPr>
          <w:rFonts w:ascii="Arial" w:hAnsi="Arial" w:cs="Arial"/>
          <w:sz w:val="20"/>
          <w:szCs w:val="20"/>
          <w:lang w:val="en-US"/>
        </w:rPr>
        <w:t xml:space="preserve">generally </w:t>
      </w:r>
      <w:r w:rsidRPr="00FB22F6">
        <w:rPr>
          <w:rFonts w:ascii="Arial" w:hAnsi="Arial" w:cs="Arial"/>
          <w:sz w:val="20"/>
          <w:szCs w:val="20"/>
          <w:lang w:val="en-US"/>
        </w:rPr>
        <w:t>motivated and committed.</w:t>
      </w:r>
    </w:p>
    <w:p w:rsidR="0065486D" w:rsidRPr="00FB22F6" w:rsidRDefault="0065486D" w:rsidP="007205D8">
      <w:pPr>
        <w:numPr>
          <w:ilvl w:val="0"/>
          <w:numId w:val="11"/>
        </w:numPr>
        <w:tabs>
          <w:tab w:val="num" w:pos="720"/>
        </w:tabs>
        <w:spacing w:after="0" w:line="240" w:lineRule="auto"/>
        <w:ind w:left="357" w:hanging="357"/>
        <w:rPr>
          <w:rFonts w:ascii="Arial" w:hAnsi="Arial" w:cs="Arial"/>
          <w:sz w:val="20"/>
          <w:szCs w:val="20"/>
        </w:rPr>
      </w:pPr>
      <w:r w:rsidRPr="00FB22F6">
        <w:rPr>
          <w:rFonts w:ascii="Arial" w:hAnsi="Arial" w:cs="Arial"/>
          <w:sz w:val="20"/>
          <w:szCs w:val="20"/>
          <w:lang w:val="en-US"/>
        </w:rPr>
        <w:t xml:space="preserve">Prevention, diagnosis and treatment practices are well followed at all levels. </w:t>
      </w:r>
    </w:p>
    <w:p w:rsidR="00E72482" w:rsidRPr="00FB22F6" w:rsidRDefault="00E72482" w:rsidP="007205D8">
      <w:pPr>
        <w:numPr>
          <w:ilvl w:val="0"/>
          <w:numId w:val="9"/>
        </w:numPr>
        <w:tabs>
          <w:tab w:val="num" w:pos="720"/>
        </w:tabs>
        <w:spacing w:after="0" w:line="240" w:lineRule="auto"/>
        <w:ind w:left="357" w:hanging="357"/>
        <w:rPr>
          <w:rFonts w:ascii="Arial" w:hAnsi="Arial" w:cs="Arial"/>
          <w:sz w:val="20"/>
          <w:szCs w:val="20"/>
        </w:rPr>
      </w:pPr>
      <w:r w:rsidRPr="00FB22F6">
        <w:rPr>
          <w:rFonts w:ascii="Arial" w:hAnsi="Arial" w:cs="Arial"/>
          <w:sz w:val="20"/>
          <w:szCs w:val="20"/>
          <w:lang w:val="en-US"/>
        </w:rPr>
        <w:t>Collaboration with local stakeholders is strong and this will greatly facilitate the introduction of elimination related interventions, particularly in hard-to-reach areas.</w:t>
      </w:r>
    </w:p>
    <w:p w:rsidR="00E72482" w:rsidRPr="00E72482" w:rsidRDefault="00E72482" w:rsidP="007205D8">
      <w:pPr>
        <w:pStyle w:val="ListParagraph"/>
        <w:numPr>
          <w:ilvl w:val="0"/>
          <w:numId w:val="9"/>
        </w:numPr>
        <w:spacing w:after="0" w:line="240" w:lineRule="auto"/>
        <w:ind w:left="357" w:hanging="357"/>
        <w:rPr>
          <w:rFonts w:ascii="Arial" w:hAnsi="Arial" w:cs="Arial"/>
          <w:iCs/>
          <w:sz w:val="20"/>
          <w:szCs w:val="20"/>
        </w:rPr>
      </w:pPr>
      <w:r w:rsidRPr="00FB22F6">
        <w:rPr>
          <w:rFonts w:ascii="Arial" w:hAnsi="Arial" w:cs="Arial"/>
          <w:iCs/>
          <w:sz w:val="20"/>
          <w:szCs w:val="20"/>
        </w:rPr>
        <w:t>Outside of the upsurge</w:t>
      </w:r>
      <w:r w:rsidRPr="00E72482">
        <w:rPr>
          <w:rFonts w:ascii="Arial" w:hAnsi="Arial" w:cs="Arial"/>
          <w:iCs/>
          <w:sz w:val="20"/>
          <w:szCs w:val="20"/>
        </w:rPr>
        <w:t xml:space="preserve"> affected CHT, the malaria situation has improved steadily in recent years (down 80% since 2008) and with the exceptions of CHT and Cox’ Bazaar (imported cases), all </w:t>
      </w:r>
      <w:r>
        <w:rPr>
          <w:rFonts w:ascii="Arial" w:hAnsi="Arial" w:cs="Arial"/>
          <w:iCs/>
          <w:sz w:val="20"/>
          <w:szCs w:val="20"/>
        </w:rPr>
        <w:t>sub-districts now have an API&lt;1</w:t>
      </w:r>
      <w:r w:rsidRPr="00E72482">
        <w:rPr>
          <w:rFonts w:ascii="Arial" w:hAnsi="Arial" w:cs="Arial"/>
          <w:iCs/>
          <w:sz w:val="20"/>
          <w:szCs w:val="20"/>
        </w:rPr>
        <w:t xml:space="preserve">. </w:t>
      </w:r>
      <w:r>
        <w:rPr>
          <w:rFonts w:ascii="Arial" w:hAnsi="Arial" w:cs="Arial"/>
          <w:sz w:val="20"/>
          <w:szCs w:val="20"/>
          <w:lang w:val="en-US"/>
        </w:rPr>
        <w:t xml:space="preserve"> E</w:t>
      </w:r>
      <w:r w:rsidRPr="001A38D3">
        <w:rPr>
          <w:rFonts w:ascii="Arial" w:hAnsi="Arial" w:cs="Arial"/>
          <w:sz w:val="20"/>
          <w:szCs w:val="20"/>
          <w:lang w:val="en-US"/>
        </w:rPr>
        <w:t xml:space="preserve">limination is </w:t>
      </w:r>
      <w:r>
        <w:rPr>
          <w:rFonts w:ascii="Arial" w:hAnsi="Arial" w:cs="Arial"/>
          <w:sz w:val="20"/>
          <w:szCs w:val="20"/>
          <w:lang w:val="en-US"/>
        </w:rPr>
        <w:t xml:space="preserve">thus </w:t>
      </w:r>
      <w:r w:rsidRPr="001A38D3">
        <w:rPr>
          <w:rFonts w:ascii="Arial" w:hAnsi="Arial" w:cs="Arial"/>
          <w:sz w:val="20"/>
          <w:szCs w:val="20"/>
          <w:lang w:val="en-US"/>
        </w:rPr>
        <w:t>feasible, given additional elimination-specific capacity development.</w:t>
      </w:r>
    </w:p>
    <w:p w:rsidR="004C6532" w:rsidRPr="00E72482" w:rsidRDefault="004C6532" w:rsidP="004C6532">
      <w:pPr>
        <w:pStyle w:val="ListParagraph"/>
        <w:numPr>
          <w:ilvl w:val="0"/>
          <w:numId w:val="9"/>
        </w:numPr>
        <w:spacing w:after="0" w:line="240" w:lineRule="auto"/>
        <w:ind w:left="357" w:hanging="357"/>
        <w:rPr>
          <w:rFonts w:ascii="Arial" w:hAnsi="Arial" w:cs="Arial"/>
          <w:iCs/>
          <w:sz w:val="20"/>
          <w:szCs w:val="20"/>
        </w:rPr>
      </w:pPr>
      <w:r w:rsidRPr="00E72482">
        <w:rPr>
          <w:rFonts w:ascii="Arial" w:hAnsi="Arial" w:cs="Arial"/>
          <w:iCs/>
          <w:sz w:val="20"/>
          <w:szCs w:val="20"/>
        </w:rPr>
        <w:t>Case Fatality Rate has dropped by 80% between 2007 and 2009, and since then has fluctuated between 0.2 and 0.8/1,000.</w:t>
      </w:r>
    </w:p>
    <w:p w:rsidR="00E72482" w:rsidRPr="00E72482" w:rsidRDefault="00E72482" w:rsidP="007205D8">
      <w:pPr>
        <w:pStyle w:val="ListParagraph"/>
        <w:numPr>
          <w:ilvl w:val="0"/>
          <w:numId w:val="9"/>
        </w:numPr>
        <w:spacing w:after="0" w:line="240" w:lineRule="auto"/>
        <w:ind w:left="357" w:hanging="357"/>
        <w:rPr>
          <w:rFonts w:ascii="Arial" w:hAnsi="Arial" w:cs="Arial"/>
          <w:iCs/>
          <w:sz w:val="20"/>
          <w:szCs w:val="20"/>
        </w:rPr>
      </w:pPr>
      <w:r w:rsidRPr="00E72482">
        <w:rPr>
          <w:rFonts w:ascii="Arial" w:hAnsi="Arial" w:cs="Arial"/>
          <w:iCs/>
          <w:sz w:val="20"/>
          <w:szCs w:val="20"/>
        </w:rPr>
        <w:t>Roll-out of 1,500 community clinics and NGO managed CHWs has been a major advance for malaria case management and surveillance.</w:t>
      </w:r>
    </w:p>
    <w:p w:rsidR="00E72482" w:rsidRPr="00E72482" w:rsidRDefault="00E72482" w:rsidP="007205D8">
      <w:pPr>
        <w:pStyle w:val="ListParagraph"/>
        <w:numPr>
          <w:ilvl w:val="0"/>
          <w:numId w:val="9"/>
        </w:numPr>
        <w:spacing w:after="0" w:line="240" w:lineRule="auto"/>
        <w:ind w:left="357" w:hanging="357"/>
        <w:rPr>
          <w:rFonts w:ascii="Arial" w:hAnsi="Arial" w:cs="Arial"/>
          <w:iCs/>
          <w:sz w:val="20"/>
          <w:szCs w:val="20"/>
        </w:rPr>
      </w:pPr>
      <w:r w:rsidRPr="00E72482">
        <w:rPr>
          <w:rFonts w:ascii="Arial" w:hAnsi="Arial" w:cs="Arial"/>
          <w:iCs/>
          <w:sz w:val="20"/>
          <w:szCs w:val="20"/>
        </w:rPr>
        <w:t xml:space="preserve">There are 210 functional microscopy centres </w:t>
      </w:r>
      <w:r>
        <w:rPr>
          <w:rFonts w:ascii="Arial" w:hAnsi="Arial" w:cs="Arial"/>
          <w:iCs/>
          <w:sz w:val="20"/>
          <w:szCs w:val="20"/>
        </w:rPr>
        <w:t>in the 13 most endemic districts</w:t>
      </w:r>
      <w:r w:rsidRPr="00E72482">
        <w:rPr>
          <w:rFonts w:ascii="Arial" w:hAnsi="Arial" w:cs="Arial"/>
          <w:iCs/>
          <w:sz w:val="20"/>
          <w:szCs w:val="20"/>
        </w:rPr>
        <w:t>.</w:t>
      </w:r>
    </w:p>
    <w:p w:rsidR="00E72482" w:rsidRPr="00E72482" w:rsidRDefault="00E72482" w:rsidP="007205D8">
      <w:pPr>
        <w:pStyle w:val="ListParagraph"/>
        <w:numPr>
          <w:ilvl w:val="0"/>
          <w:numId w:val="9"/>
        </w:numPr>
        <w:spacing w:after="0" w:line="240" w:lineRule="auto"/>
        <w:ind w:left="357" w:hanging="357"/>
        <w:rPr>
          <w:rFonts w:ascii="Arial" w:hAnsi="Arial" w:cs="Arial"/>
          <w:iCs/>
          <w:sz w:val="20"/>
          <w:szCs w:val="20"/>
        </w:rPr>
      </w:pPr>
      <w:r>
        <w:rPr>
          <w:rFonts w:ascii="Arial" w:hAnsi="Arial" w:cs="Arial"/>
          <w:iCs/>
          <w:sz w:val="20"/>
          <w:szCs w:val="20"/>
          <w:lang w:val="en-US"/>
        </w:rPr>
        <w:t>There is s</w:t>
      </w:r>
      <w:r w:rsidRPr="00E72482">
        <w:rPr>
          <w:rFonts w:ascii="Arial" w:hAnsi="Arial" w:cs="Arial"/>
          <w:iCs/>
          <w:sz w:val="20"/>
          <w:szCs w:val="20"/>
          <w:lang w:val="en-US"/>
        </w:rPr>
        <w:t>trong</w:t>
      </w:r>
      <w:r>
        <w:rPr>
          <w:rFonts w:ascii="Arial" w:hAnsi="Arial" w:cs="Arial"/>
          <w:iCs/>
          <w:sz w:val="20"/>
          <w:szCs w:val="20"/>
          <w:lang w:val="en-US"/>
        </w:rPr>
        <w:t xml:space="preserve"> leadership and commitment </w:t>
      </w:r>
      <w:r w:rsidRPr="00E72482">
        <w:rPr>
          <w:rFonts w:ascii="Arial" w:hAnsi="Arial" w:cs="Arial"/>
          <w:iCs/>
          <w:sz w:val="20"/>
          <w:szCs w:val="20"/>
          <w:lang w:val="en-US"/>
        </w:rPr>
        <w:t>at national, district and sub-district level.</w:t>
      </w:r>
    </w:p>
    <w:p w:rsidR="00E72482" w:rsidRPr="00E72482" w:rsidRDefault="00E72482" w:rsidP="007205D8">
      <w:pPr>
        <w:pStyle w:val="ListParagraph"/>
        <w:numPr>
          <w:ilvl w:val="0"/>
          <w:numId w:val="9"/>
        </w:numPr>
        <w:spacing w:after="0" w:line="240" w:lineRule="auto"/>
        <w:ind w:left="357" w:hanging="357"/>
        <w:rPr>
          <w:rFonts w:ascii="Arial" w:hAnsi="Arial" w:cs="Arial"/>
          <w:iCs/>
          <w:sz w:val="20"/>
          <w:szCs w:val="20"/>
        </w:rPr>
      </w:pPr>
      <w:r w:rsidRPr="00E72482">
        <w:rPr>
          <w:rFonts w:ascii="Arial" w:hAnsi="Arial" w:cs="Arial"/>
          <w:iCs/>
          <w:sz w:val="20"/>
          <w:szCs w:val="20"/>
          <w:lang w:val="en-US"/>
        </w:rPr>
        <w:t>Activities of GoB officials, BRAC and its local implementing partners are well harmonized.</w:t>
      </w:r>
    </w:p>
    <w:p w:rsidR="00E72482" w:rsidRPr="00E72482" w:rsidRDefault="00E72482" w:rsidP="007205D8">
      <w:pPr>
        <w:pStyle w:val="ListParagraph"/>
        <w:numPr>
          <w:ilvl w:val="0"/>
          <w:numId w:val="9"/>
        </w:numPr>
        <w:rPr>
          <w:rFonts w:ascii="Arial" w:hAnsi="Arial" w:cs="Arial"/>
          <w:iCs/>
          <w:sz w:val="20"/>
          <w:szCs w:val="20"/>
        </w:rPr>
      </w:pPr>
      <w:r>
        <w:rPr>
          <w:rFonts w:ascii="Arial" w:hAnsi="Arial" w:cs="Arial"/>
          <w:iCs/>
          <w:sz w:val="20"/>
          <w:szCs w:val="20"/>
          <w:lang w:val="en-US"/>
        </w:rPr>
        <w:t>There is s</w:t>
      </w:r>
      <w:r w:rsidRPr="00E72482">
        <w:rPr>
          <w:rFonts w:ascii="Arial" w:hAnsi="Arial" w:cs="Arial"/>
          <w:iCs/>
          <w:sz w:val="20"/>
          <w:szCs w:val="20"/>
          <w:lang w:val="en-US"/>
        </w:rPr>
        <w:t>trong stakeho</w:t>
      </w:r>
      <w:r>
        <w:rPr>
          <w:rFonts w:ascii="Arial" w:hAnsi="Arial" w:cs="Arial"/>
          <w:iCs/>
          <w:sz w:val="20"/>
          <w:szCs w:val="20"/>
          <w:lang w:val="en-US"/>
        </w:rPr>
        <w:t xml:space="preserve">lder involvement in local level </w:t>
      </w:r>
      <w:r w:rsidRPr="00E72482">
        <w:rPr>
          <w:rFonts w:ascii="Arial" w:hAnsi="Arial" w:cs="Arial"/>
          <w:iCs/>
          <w:sz w:val="20"/>
          <w:szCs w:val="20"/>
          <w:lang w:val="en-US"/>
        </w:rPr>
        <w:t>planning, implementation and reporting</w:t>
      </w:r>
      <w:r>
        <w:rPr>
          <w:rFonts w:ascii="Arial" w:hAnsi="Arial" w:cs="Arial"/>
          <w:iCs/>
          <w:sz w:val="20"/>
          <w:szCs w:val="20"/>
          <w:lang w:val="en-US"/>
        </w:rPr>
        <w:t>.</w:t>
      </w:r>
    </w:p>
    <w:p w:rsidR="001A38D3" w:rsidRPr="001A38D3" w:rsidRDefault="001A38D3" w:rsidP="007205D8">
      <w:pPr>
        <w:pStyle w:val="ListParagraph"/>
        <w:numPr>
          <w:ilvl w:val="0"/>
          <w:numId w:val="9"/>
        </w:numPr>
        <w:rPr>
          <w:rFonts w:ascii="Arial" w:hAnsi="Arial" w:cs="Arial"/>
          <w:iCs/>
          <w:sz w:val="20"/>
          <w:szCs w:val="20"/>
        </w:rPr>
      </w:pPr>
      <w:r>
        <w:rPr>
          <w:rFonts w:ascii="Arial" w:hAnsi="Arial" w:cs="Arial"/>
          <w:iCs/>
          <w:sz w:val="20"/>
          <w:szCs w:val="20"/>
          <w:lang w:val="en-US"/>
        </w:rPr>
        <w:t>Improved targeting of LLINs will maximize the cost effectiveness of vector control operations.</w:t>
      </w:r>
    </w:p>
    <w:p w:rsidR="001A38D3" w:rsidRPr="001A38D3" w:rsidRDefault="001A38D3" w:rsidP="007205D8">
      <w:pPr>
        <w:pStyle w:val="ListParagraph"/>
        <w:numPr>
          <w:ilvl w:val="0"/>
          <w:numId w:val="9"/>
        </w:numPr>
        <w:rPr>
          <w:rFonts w:ascii="Arial" w:hAnsi="Arial" w:cs="Arial"/>
          <w:iCs/>
          <w:sz w:val="20"/>
          <w:szCs w:val="20"/>
        </w:rPr>
      </w:pPr>
      <w:r>
        <w:rPr>
          <w:rFonts w:ascii="Arial" w:hAnsi="Arial" w:cs="Arial"/>
          <w:iCs/>
          <w:sz w:val="20"/>
          <w:szCs w:val="20"/>
        </w:rPr>
        <w:t>Co</w:t>
      </w:r>
      <w:r w:rsidRPr="001A38D3">
        <w:rPr>
          <w:rFonts w:ascii="Arial" w:hAnsi="Arial" w:cs="Arial"/>
          <w:iCs/>
          <w:sz w:val="20"/>
          <w:szCs w:val="20"/>
        </w:rPr>
        <w:t xml:space="preserve">ntinuous </w:t>
      </w:r>
      <w:r w:rsidR="00F152B5">
        <w:rPr>
          <w:rFonts w:ascii="Arial" w:hAnsi="Arial" w:cs="Arial"/>
          <w:iCs/>
          <w:sz w:val="20"/>
          <w:szCs w:val="20"/>
        </w:rPr>
        <w:t xml:space="preserve">LLIN </w:t>
      </w:r>
      <w:r w:rsidRPr="001A38D3">
        <w:rPr>
          <w:rFonts w:ascii="Arial" w:hAnsi="Arial" w:cs="Arial"/>
          <w:iCs/>
          <w:sz w:val="20"/>
          <w:szCs w:val="20"/>
        </w:rPr>
        <w:t xml:space="preserve">distribution channels </w:t>
      </w:r>
      <w:r>
        <w:rPr>
          <w:rFonts w:ascii="Arial" w:hAnsi="Arial" w:cs="Arial"/>
          <w:iCs/>
          <w:sz w:val="20"/>
          <w:szCs w:val="20"/>
        </w:rPr>
        <w:t xml:space="preserve">are required </w:t>
      </w:r>
      <w:r w:rsidRPr="001A38D3">
        <w:rPr>
          <w:rFonts w:ascii="Arial" w:hAnsi="Arial" w:cs="Arial"/>
          <w:iCs/>
          <w:sz w:val="20"/>
          <w:szCs w:val="20"/>
        </w:rPr>
        <w:t>to target mobile populations and migrants</w:t>
      </w:r>
      <w:r>
        <w:rPr>
          <w:rFonts w:ascii="Arial" w:hAnsi="Arial" w:cs="Arial"/>
          <w:iCs/>
          <w:sz w:val="20"/>
          <w:szCs w:val="20"/>
        </w:rPr>
        <w:t>.</w:t>
      </w:r>
    </w:p>
    <w:p w:rsidR="0094789B" w:rsidRPr="0094789B" w:rsidRDefault="001A38D3" w:rsidP="007205D8">
      <w:pPr>
        <w:pStyle w:val="ListParagraph"/>
        <w:numPr>
          <w:ilvl w:val="0"/>
          <w:numId w:val="9"/>
        </w:numPr>
        <w:rPr>
          <w:rFonts w:ascii="Arial" w:hAnsi="Arial" w:cs="Arial"/>
          <w:sz w:val="20"/>
          <w:szCs w:val="20"/>
        </w:rPr>
      </w:pPr>
      <w:r w:rsidRPr="001A38D3">
        <w:rPr>
          <w:rFonts w:ascii="Arial" w:hAnsi="Arial" w:cs="Arial"/>
          <w:sz w:val="20"/>
          <w:szCs w:val="20"/>
        </w:rPr>
        <w:t xml:space="preserve">Vector profiling and mapping </w:t>
      </w:r>
      <w:r>
        <w:rPr>
          <w:rFonts w:ascii="Arial" w:hAnsi="Arial" w:cs="Arial"/>
          <w:sz w:val="20"/>
          <w:szCs w:val="20"/>
        </w:rPr>
        <w:t>needs to be updated to support cost-effective targeting.</w:t>
      </w:r>
    </w:p>
    <w:p w:rsidR="0094789B" w:rsidRDefault="0094789B" w:rsidP="007205D8">
      <w:pPr>
        <w:pStyle w:val="ListParagraph"/>
        <w:numPr>
          <w:ilvl w:val="0"/>
          <w:numId w:val="9"/>
        </w:numPr>
        <w:rPr>
          <w:rFonts w:ascii="Arial" w:hAnsi="Arial" w:cs="Arial"/>
          <w:sz w:val="20"/>
          <w:szCs w:val="20"/>
        </w:rPr>
      </w:pPr>
      <w:r>
        <w:rPr>
          <w:rFonts w:ascii="Arial" w:hAnsi="Arial" w:cs="Arial"/>
          <w:sz w:val="20"/>
          <w:szCs w:val="20"/>
        </w:rPr>
        <w:t xml:space="preserve">Microscopy </w:t>
      </w:r>
      <w:r w:rsidR="00E4702C">
        <w:rPr>
          <w:rFonts w:ascii="Arial" w:hAnsi="Arial" w:cs="Arial"/>
          <w:sz w:val="20"/>
          <w:szCs w:val="20"/>
        </w:rPr>
        <w:t xml:space="preserve">quality assurance and the </w:t>
      </w:r>
      <w:r w:rsidR="00E4702C" w:rsidRPr="00E4702C">
        <w:rPr>
          <w:rFonts w:ascii="Arial" w:hAnsi="Arial" w:cs="Arial"/>
          <w:sz w:val="20"/>
          <w:szCs w:val="20"/>
        </w:rPr>
        <w:t xml:space="preserve">Central Malaria Reference Laboratory </w:t>
      </w:r>
      <w:r>
        <w:rPr>
          <w:rFonts w:ascii="Arial" w:hAnsi="Arial" w:cs="Arial"/>
          <w:sz w:val="20"/>
          <w:szCs w:val="20"/>
        </w:rPr>
        <w:t>need strengthening in-line with the stringent requirements for elimination.</w:t>
      </w:r>
    </w:p>
    <w:p w:rsidR="0094789B" w:rsidRDefault="0094789B" w:rsidP="007205D8">
      <w:pPr>
        <w:pStyle w:val="ListParagraph"/>
        <w:numPr>
          <w:ilvl w:val="0"/>
          <w:numId w:val="9"/>
        </w:numPr>
        <w:rPr>
          <w:rFonts w:ascii="Arial" w:hAnsi="Arial" w:cs="Arial"/>
          <w:sz w:val="20"/>
          <w:szCs w:val="20"/>
        </w:rPr>
      </w:pPr>
      <w:r>
        <w:rPr>
          <w:rFonts w:ascii="Arial" w:hAnsi="Arial" w:cs="Arial"/>
          <w:sz w:val="20"/>
          <w:szCs w:val="20"/>
        </w:rPr>
        <w:t>S</w:t>
      </w:r>
      <w:r w:rsidRPr="0094789B">
        <w:rPr>
          <w:rFonts w:ascii="Arial" w:hAnsi="Arial" w:cs="Arial"/>
          <w:sz w:val="20"/>
          <w:szCs w:val="20"/>
        </w:rPr>
        <w:t xml:space="preserve">ystematic testing of suspected cases </w:t>
      </w:r>
      <w:r>
        <w:rPr>
          <w:rFonts w:ascii="Arial" w:hAnsi="Arial" w:cs="Arial"/>
          <w:sz w:val="20"/>
          <w:szCs w:val="20"/>
        </w:rPr>
        <w:t xml:space="preserve">must be introduced </w:t>
      </w:r>
      <w:r w:rsidRPr="0094789B">
        <w:rPr>
          <w:rFonts w:ascii="Arial" w:hAnsi="Arial" w:cs="Arial"/>
          <w:sz w:val="20"/>
          <w:szCs w:val="20"/>
        </w:rPr>
        <w:t xml:space="preserve">in </w:t>
      </w:r>
      <w:r>
        <w:rPr>
          <w:rFonts w:ascii="Arial" w:hAnsi="Arial" w:cs="Arial"/>
          <w:sz w:val="20"/>
          <w:szCs w:val="20"/>
        </w:rPr>
        <w:t xml:space="preserve">so-called </w:t>
      </w:r>
      <w:r w:rsidRPr="0094789B">
        <w:rPr>
          <w:rFonts w:ascii="Arial" w:hAnsi="Arial" w:cs="Arial"/>
          <w:sz w:val="20"/>
          <w:szCs w:val="20"/>
        </w:rPr>
        <w:t>‘non endemic’ districts</w:t>
      </w:r>
      <w:r>
        <w:rPr>
          <w:rFonts w:ascii="Arial" w:hAnsi="Arial" w:cs="Arial"/>
          <w:sz w:val="20"/>
          <w:szCs w:val="20"/>
        </w:rPr>
        <w:t>.</w:t>
      </w:r>
    </w:p>
    <w:p w:rsidR="0094789B" w:rsidRPr="0094789B" w:rsidRDefault="0094789B" w:rsidP="007205D8">
      <w:pPr>
        <w:pStyle w:val="ListParagraph"/>
        <w:numPr>
          <w:ilvl w:val="0"/>
          <w:numId w:val="9"/>
        </w:numPr>
        <w:rPr>
          <w:rFonts w:ascii="Arial" w:hAnsi="Arial" w:cs="Arial"/>
          <w:sz w:val="20"/>
          <w:szCs w:val="20"/>
        </w:rPr>
      </w:pPr>
      <w:r w:rsidRPr="0094789B">
        <w:rPr>
          <w:rFonts w:ascii="Arial" w:hAnsi="Arial" w:cs="Arial"/>
          <w:sz w:val="20"/>
          <w:szCs w:val="20"/>
        </w:rPr>
        <w:t xml:space="preserve">Further expansion of community clinics and NGO managed </w:t>
      </w:r>
      <w:r w:rsidR="00F152B5">
        <w:rPr>
          <w:rFonts w:ascii="Arial" w:hAnsi="Arial" w:cs="Arial"/>
          <w:sz w:val="20"/>
          <w:szCs w:val="20"/>
        </w:rPr>
        <w:t xml:space="preserve">case-management </w:t>
      </w:r>
      <w:r w:rsidRPr="0094789B">
        <w:rPr>
          <w:rFonts w:ascii="Arial" w:hAnsi="Arial" w:cs="Arial"/>
          <w:sz w:val="20"/>
          <w:szCs w:val="20"/>
        </w:rPr>
        <w:t>is needed to ensure all endemic communities</w:t>
      </w:r>
      <w:r w:rsidR="00F152B5">
        <w:rPr>
          <w:rFonts w:ascii="Arial" w:hAnsi="Arial" w:cs="Arial"/>
          <w:sz w:val="20"/>
          <w:szCs w:val="20"/>
        </w:rPr>
        <w:t xml:space="preserve"> are adequately covered.</w:t>
      </w:r>
    </w:p>
    <w:p w:rsidR="0094789B" w:rsidRPr="0094789B" w:rsidRDefault="0094789B" w:rsidP="007205D8">
      <w:pPr>
        <w:pStyle w:val="ListParagraph"/>
        <w:numPr>
          <w:ilvl w:val="0"/>
          <w:numId w:val="9"/>
        </w:numPr>
        <w:rPr>
          <w:rFonts w:ascii="Arial" w:hAnsi="Arial" w:cs="Arial"/>
          <w:sz w:val="20"/>
          <w:szCs w:val="20"/>
        </w:rPr>
      </w:pPr>
      <w:r>
        <w:rPr>
          <w:rFonts w:ascii="Arial" w:hAnsi="Arial" w:cs="Arial"/>
          <w:sz w:val="20"/>
          <w:szCs w:val="20"/>
        </w:rPr>
        <w:t>S</w:t>
      </w:r>
      <w:r w:rsidRPr="0094789B">
        <w:rPr>
          <w:rFonts w:ascii="Arial" w:hAnsi="Arial" w:cs="Arial"/>
          <w:sz w:val="20"/>
          <w:szCs w:val="20"/>
        </w:rPr>
        <w:t xml:space="preserve">tand-by treatment </w:t>
      </w:r>
      <w:r>
        <w:rPr>
          <w:rFonts w:ascii="Arial" w:hAnsi="Arial" w:cs="Arial"/>
          <w:sz w:val="20"/>
          <w:szCs w:val="20"/>
        </w:rPr>
        <w:t xml:space="preserve">should be introduced </w:t>
      </w:r>
      <w:r w:rsidRPr="0094789B">
        <w:rPr>
          <w:rFonts w:ascii="Arial" w:hAnsi="Arial" w:cs="Arial"/>
          <w:sz w:val="20"/>
          <w:szCs w:val="20"/>
        </w:rPr>
        <w:t>for forest goers.</w:t>
      </w:r>
    </w:p>
    <w:p w:rsidR="0094789B" w:rsidRPr="0094789B" w:rsidRDefault="0094789B" w:rsidP="007205D8">
      <w:pPr>
        <w:pStyle w:val="ListParagraph"/>
        <w:numPr>
          <w:ilvl w:val="0"/>
          <w:numId w:val="9"/>
        </w:numPr>
        <w:rPr>
          <w:rFonts w:ascii="Arial" w:hAnsi="Arial" w:cs="Arial"/>
          <w:sz w:val="20"/>
          <w:szCs w:val="20"/>
        </w:rPr>
      </w:pPr>
      <w:r>
        <w:rPr>
          <w:rFonts w:ascii="Arial" w:hAnsi="Arial" w:cs="Arial"/>
          <w:sz w:val="20"/>
          <w:szCs w:val="20"/>
        </w:rPr>
        <w:t>M</w:t>
      </w:r>
      <w:r w:rsidRPr="0094789B">
        <w:rPr>
          <w:rFonts w:ascii="Arial" w:hAnsi="Arial" w:cs="Arial"/>
          <w:sz w:val="20"/>
          <w:szCs w:val="20"/>
        </w:rPr>
        <w:t xml:space="preserve">alaria screening </w:t>
      </w:r>
      <w:r>
        <w:rPr>
          <w:rFonts w:ascii="Arial" w:hAnsi="Arial" w:cs="Arial"/>
          <w:sz w:val="20"/>
          <w:szCs w:val="20"/>
        </w:rPr>
        <w:t xml:space="preserve">should be introduced </w:t>
      </w:r>
      <w:r w:rsidRPr="0094789B">
        <w:rPr>
          <w:rFonts w:ascii="Arial" w:hAnsi="Arial" w:cs="Arial"/>
          <w:sz w:val="20"/>
          <w:szCs w:val="20"/>
        </w:rPr>
        <w:t xml:space="preserve">as part of </w:t>
      </w:r>
      <w:r w:rsidR="00F152B5">
        <w:rPr>
          <w:rFonts w:ascii="Arial" w:hAnsi="Arial" w:cs="Arial"/>
          <w:sz w:val="20"/>
          <w:szCs w:val="20"/>
        </w:rPr>
        <w:t>ante-n</w:t>
      </w:r>
      <w:r>
        <w:rPr>
          <w:rFonts w:ascii="Arial" w:hAnsi="Arial" w:cs="Arial"/>
          <w:sz w:val="20"/>
          <w:szCs w:val="20"/>
        </w:rPr>
        <w:t xml:space="preserve">atal </w:t>
      </w:r>
      <w:r w:rsidR="00F152B5">
        <w:rPr>
          <w:rFonts w:ascii="Arial" w:hAnsi="Arial" w:cs="Arial"/>
          <w:sz w:val="20"/>
          <w:szCs w:val="20"/>
        </w:rPr>
        <w:t>c</w:t>
      </w:r>
      <w:r>
        <w:rPr>
          <w:rFonts w:ascii="Arial" w:hAnsi="Arial" w:cs="Arial"/>
          <w:sz w:val="20"/>
          <w:szCs w:val="20"/>
        </w:rPr>
        <w:t>are</w:t>
      </w:r>
      <w:r w:rsidRPr="0094789B">
        <w:rPr>
          <w:rFonts w:ascii="Arial" w:hAnsi="Arial" w:cs="Arial"/>
          <w:sz w:val="20"/>
          <w:szCs w:val="20"/>
        </w:rPr>
        <w:t xml:space="preserve"> for </w:t>
      </w:r>
      <w:r w:rsidR="00F152B5">
        <w:rPr>
          <w:rFonts w:ascii="Arial" w:hAnsi="Arial" w:cs="Arial"/>
          <w:sz w:val="20"/>
          <w:szCs w:val="20"/>
        </w:rPr>
        <w:t>m</w:t>
      </w:r>
      <w:r>
        <w:rPr>
          <w:rFonts w:ascii="Arial" w:hAnsi="Arial" w:cs="Arial"/>
          <w:sz w:val="20"/>
          <w:szCs w:val="20"/>
        </w:rPr>
        <w:t xml:space="preserve">alaria </w:t>
      </w:r>
      <w:r w:rsidRPr="0094789B">
        <w:rPr>
          <w:rFonts w:ascii="Arial" w:hAnsi="Arial" w:cs="Arial"/>
          <w:sz w:val="20"/>
          <w:szCs w:val="20"/>
        </w:rPr>
        <w:t>i</w:t>
      </w:r>
      <w:r>
        <w:rPr>
          <w:rFonts w:ascii="Arial" w:hAnsi="Arial" w:cs="Arial"/>
          <w:sz w:val="20"/>
          <w:szCs w:val="20"/>
        </w:rPr>
        <w:t xml:space="preserve">n </w:t>
      </w:r>
      <w:r w:rsidR="00F152B5">
        <w:rPr>
          <w:rFonts w:ascii="Arial" w:hAnsi="Arial" w:cs="Arial"/>
          <w:sz w:val="20"/>
          <w:szCs w:val="20"/>
        </w:rPr>
        <w:t>p</w:t>
      </w:r>
      <w:r>
        <w:rPr>
          <w:rFonts w:ascii="Arial" w:hAnsi="Arial" w:cs="Arial"/>
          <w:sz w:val="20"/>
          <w:szCs w:val="20"/>
        </w:rPr>
        <w:t>regnancy</w:t>
      </w:r>
      <w:r w:rsidRPr="0094789B">
        <w:rPr>
          <w:rFonts w:ascii="Arial" w:hAnsi="Arial" w:cs="Arial"/>
          <w:sz w:val="20"/>
          <w:szCs w:val="20"/>
        </w:rPr>
        <w:t xml:space="preserve"> in all highly endemic communities. </w:t>
      </w:r>
    </w:p>
    <w:p w:rsidR="0094789B" w:rsidRPr="00F152B5" w:rsidRDefault="0094789B" w:rsidP="007205D8">
      <w:pPr>
        <w:pStyle w:val="ListParagraph"/>
        <w:numPr>
          <w:ilvl w:val="0"/>
          <w:numId w:val="9"/>
        </w:numPr>
        <w:rPr>
          <w:rFonts w:ascii="Arial" w:hAnsi="Arial" w:cs="Arial"/>
          <w:sz w:val="20"/>
          <w:szCs w:val="20"/>
        </w:rPr>
      </w:pPr>
      <w:r w:rsidRPr="0094789B">
        <w:rPr>
          <w:rFonts w:ascii="Arial" w:hAnsi="Arial" w:cs="Arial"/>
          <w:sz w:val="20"/>
          <w:szCs w:val="20"/>
        </w:rPr>
        <w:t xml:space="preserve">A </w:t>
      </w:r>
      <w:r w:rsidRPr="00F152B5">
        <w:rPr>
          <w:rFonts w:ascii="Arial" w:hAnsi="Arial" w:cs="Arial"/>
          <w:sz w:val="20"/>
          <w:szCs w:val="20"/>
        </w:rPr>
        <w:t xml:space="preserve">minimum package of RDTs and antimalarials should be made available to sub-district level </w:t>
      </w:r>
      <w:r w:rsidR="00E72482">
        <w:rPr>
          <w:rFonts w:ascii="Arial" w:hAnsi="Arial" w:cs="Arial"/>
          <w:sz w:val="20"/>
          <w:szCs w:val="20"/>
        </w:rPr>
        <w:t xml:space="preserve">even </w:t>
      </w:r>
      <w:r w:rsidRPr="00F152B5">
        <w:rPr>
          <w:rFonts w:ascii="Arial" w:hAnsi="Arial" w:cs="Arial"/>
          <w:sz w:val="20"/>
          <w:szCs w:val="20"/>
        </w:rPr>
        <w:t>in non-endemic districts.</w:t>
      </w:r>
    </w:p>
    <w:p w:rsidR="00E4702C" w:rsidRPr="00F152B5" w:rsidRDefault="00E4702C" w:rsidP="007205D8">
      <w:pPr>
        <w:pStyle w:val="ListParagraph"/>
        <w:numPr>
          <w:ilvl w:val="0"/>
          <w:numId w:val="9"/>
        </w:numPr>
        <w:rPr>
          <w:rFonts w:ascii="Arial" w:hAnsi="Arial" w:cs="Arial"/>
          <w:sz w:val="20"/>
          <w:szCs w:val="20"/>
        </w:rPr>
      </w:pPr>
      <w:r w:rsidRPr="00F152B5">
        <w:rPr>
          <w:rFonts w:ascii="Arial" w:hAnsi="Arial" w:cs="Arial"/>
          <w:sz w:val="20"/>
          <w:szCs w:val="20"/>
        </w:rPr>
        <w:t>P</w:t>
      </w:r>
      <w:r w:rsidR="0094789B" w:rsidRPr="00F152B5">
        <w:rPr>
          <w:rFonts w:ascii="Arial" w:hAnsi="Arial" w:cs="Arial"/>
          <w:sz w:val="20"/>
          <w:szCs w:val="20"/>
        </w:rPr>
        <w:t xml:space="preserve">rivate sector </w:t>
      </w:r>
      <w:r w:rsidRPr="00F152B5">
        <w:rPr>
          <w:rFonts w:ascii="Arial" w:hAnsi="Arial" w:cs="Arial"/>
          <w:sz w:val="20"/>
          <w:szCs w:val="20"/>
        </w:rPr>
        <w:t>malaria case management providers must be engaged in support of malaria elimination</w:t>
      </w:r>
      <w:r w:rsidR="00F152B5" w:rsidRPr="00F152B5">
        <w:rPr>
          <w:rFonts w:ascii="Arial" w:hAnsi="Arial" w:cs="Arial"/>
          <w:sz w:val="20"/>
          <w:szCs w:val="20"/>
        </w:rPr>
        <w:t>,</w:t>
      </w:r>
      <w:r w:rsidRPr="00F152B5">
        <w:rPr>
          <w:rFonts w:ascii="Arial" w:hAnsi="Arial" w:cs="Arial"/>
          <w:sz w:val="20"/>
          <w:szCs w:val="20"/>
        </w:rPr>
        <w:t xml:space="preserve"> and private sector pharmaceutical surveillance and regulation must be strengthened.</w:t>
      </w:r>
    </w:p>
    <w:p w:rsidR="00F40BB3" w:rsidRPr="001A38D3" w:rsidRDefault="00F40BB3" w:rsidP="007205D8">
      <w:pPr>
        <w:pStyle w:val="ListParagraph"/>
        <w:numPr>
          <w:ilvl w:val="0"/>
          <w:numId w:val="9"/>
        </w:numPr>
        <w:rPr>
          <w:rFonts w:ascii="Arial" w:hAnsi="Arial" w:cs="Arial"/>
          <w:sz w:val="20"/>
          <w:szCs w:val="20"/>
        </w:rPr>
      </w:pPr>
      <w:r w:rsidRPr="00F152B5">
        <w:rPr>
          <w:rFonts w:ascii="Arial" w:hAnsi="Arial" w:cs="Arial"/>
          <w:sz w:val="20"/>
          <w:szCs w:val="20"/>
          <w:lang w:val="en-US"/>
        </w:rPr>
        <w:t>Surveillance (with the paper-based reporting of aggregate data up to upazila, and web-based reporting starting from upazila) is</w:t>
      </w:r>
      <w:r w:rsidRPr="001A38D3">
        <w:rPr>
          <w:rFonts w:ascii="Arial" w:hAnsi="Arial" w:cs="Arial"/>
          <w:sz w:val="20"/>
          <w:szCs w:val="20"/>
          <w:lang w:val="en-US"/>
        </w:rPr>
        <w:t xml:space="preserve"> working well. But to allow in-depth analysis and maximize the usefulness of data for action, the system needs to be upgraded to allow case-based reporting </w:t>
      </w:r>
      <w:r w:rsidR="00E4702C">
        <w:rPr>
          <w:rFonts w:ascii="Arial" w:hAnsi="Arial" w:cs="Arial"/>
          <w:sz w:val="20"/>
          <w:szCs w:val="20"/>
          <w:lang w:val="en-US"/>
        </w:rPr>
        <w:t xml:space="preserve">and ‘zero-reporting’ </w:t>
      </w:r>
      <w:r w:rsidRPr="001A38D3">
        <w:rPr>
          <w:rFonts w:ascii="Arial" w:hAnsi="Arial" w:cs="Arial"/>
          <w:sz w:val="20"/>
          <w:szCs w:val="20"/>
          <w:lang w:val="en-US"/>
        </w:rPr>
        <w:t>from peripheral level.</w:t>
      </w:r>
    </w:p>
    <w:p w:rsidR="00766F20" w:rsidRPr="00766F20" w:rsidRDefault="00F152B5" w:rsidP="007205D8">
      <w:pPr>
        <w:pStyle w:val="ListParagraph"/>
        <w:numPr>
          <w:ilvl w:val="0"/>
          <w:numId w:val="9"/>
        </w:numPr>
        <w:rPr>
          <w:rFonts w:ascii="Arial" w:hAnsi="Arial" w:cs="Arial"/>
          <w:sz w:val="20"/>
          <w:szCs w:val="20"/>
        </w:rPr>
      </w:pPr>
      <w:r>
        <w:rPr>
          <w:rFonts w:ascii="Arial" w:hAnsi="Arial" w:cs="Arial"/>
          <w:sz w:val="20"/>
          <w:szCs w:val="20"/>
          <w:lang w:val="en-US"/>
        </w:rPr>
        <w:t>C</w:t>
      </w:r>
      <w:r w:rsidR="00766F20">
        <w:rPr>
          <w:rFonts w:ascii="Arial" w:hAnsi="Arial" w:cs="Arial"/>
          <w:sz w:val="20"/>
          <w:szCs w:val="20"/>
          <w:lang w:val="en-US"/>
        </w:rPr>
        <w:t xml:space="preserve">oordination and leadership </w:t>
      </w:r>
      <w:r>
        <w:rPr>
          <w:rFonts w:ascii="Arial" w:hAnsi="Arial" w:cs="Arial"/>
          <w:sz w:val="20"/>
          <w:szCs w:val="20"/>
          <w:lang w:val="en-US"/>
        </w:rPr>
        <w:t xml:space="preserve">needs to be adjusted </w:t>
      </w:r>
      <w:r w:rsidR="00766F20">
        <w:rPr>
          <w:rFonts w:ascii="Arial" w:hAnsi="Arial" w:cs="Arial"/>
          <w:sz w:val="20"/>
          <w:szCs w:val="20"/>
          <w:lang w:val="en-US"/>
        </w:rPr>
        <w:t>in-line with elimination targets.</w:t>
      </w:r>
    </w:p>
    <w:p w:rsidR="00F40BB3" w:rsidRPr="00766F20" w:rsidRDefault="00766F20" w:rsidP="007205D8">
      <w:pPr>
        <w:pStyle w:val="ListParagraph"/>
        <w:numPr>
          <w:ilvl w:val="0"/>
          <w:numId w:val="9"/>
        </w:numPr>
        <w:rPr>
          <w:rFonts w:ascii="Arial" w:hAnsi="Arial" w:cs="Arial"/>
          <w:sz w:val="20"/>
          <w:szCs w:val="20"/>
        </w:rPr>
      </w:pPr>
      <w:r>
        <w:rPr>
          <w:rFonts w:ascii="Arial" w:hAnsi="Arial" w:cs="Arial"/>
          <w:sz w:val="20"/>
          <w:szCs w:val="20"/>
          <w:lang w:val="en-US"/>
        </w:rPr>
        <w:t>Broade</w:t>
      </w:r>
      <w:r w:rsidR="00F152B5">
        <w:rPr>
          <w:rFonts w:ascii="Arial" w:hAnsi="Arial" w:cs="Arial"/>
          <w:sz w:val="20"/>
          <w:szCs w:val="20"/>
          <w:lang w:val="en-US"/>
        </w:rPr>
        <w:t>r</w:t>
      </w:r>
      <w:r>
        <w:rPr>
          <w:rFonts w:ascii="Arial" w:hAnsi="Arial" w:cs="Arial"/>
          <w:sz w:val="20"/>
          <w:szCs w:val="20"/>
          <w:lang w:val="en-US"/>
        </w:rPr>
        <w:t xml:space="preserve"> c</w:t>
      </w:r>
      <w:r w:rsidR="00F40BB3" w:rsidRPr="001A38D3">
        <w:rPr>
          <w:rFonts w:ascii="Arial" w:hAnsi="Arial" w:cs="Arial"/>
          <w:sz w:val="20"/>
          <w:szCs w:val="20"/>
          <w:lang w:val="en-US"/>
        </w:rPr>
        <w:t xml:space="preserve">ollaboration with local stakeholders </w:t>
      </w:r>
      <w:r w:rsidR="00F152B5">
        <w:rPr>
          <w:rFonts w:ascii="Arial" w:hAnsi="Arial" w:cs="Arial"/>
          <w:sz w:val="20"/>
          <w:szCs w:val="20"/>
          <w:lang w:val="en-US"/>
        </w:rPr>
        <w:t xml:space="preserve">is needed </w:t>
      </w:r>
      <w:r>
        <w:rPr>
          <w:rFonts w:ascii="Arial" w:hAnsi="Arial" w:cs="Arial"/>
          <w:sz w:val="20"/>
          <w:szCs w:val="20"/>
          <w:lang w:val="en-US"/>
        </w:rPr>
        <w:t>to</w:t>
      </w:r>
      <w:r w:rsidR="00F40BB3" w:rsidRPr="001A38D3">
        <w:rPr>
          <w:rFonts w:ascii="Arial" w:hAnsi="Arial" w:cs="Arial"/>
          <w:sz w:val="20"/>
          <w:szCs w:val="20"/>
          <w:lang w:val="en-US"/>
        </w:rPr>
        <w:t xml:space="preserve"> facilitate the introduction of elimination related interventions, particularly in hard-to-reach areas.</w:t>
      </w:r>
    </w:p>
    <w:p w:rsidR="00766F20" w:rsidRPr="00766F20" w:rsidRDefault="00E72482" w:rsidP="007205D8">
      <w:pPr>
        <w:pStyle w:val="ListParagraph"/>
        <w:numPr>
          <w:ilvl w:val="0"/>
          <w:numId w:val="9"/>
        </w:numPr>
        <w:rPr>
          <w:rFonts w:ascii="Arial" w:hAnsi="Arial" w:cs="Arial"/>
          <w:sz w:val="20"/>
          <w:szCs w:val="20"/>
        </w:rPr>
      </w:pPr>
      <w:r>
        <w:rPr>
          <w:rFonts w:ascii="Arial" w:hAnsi="Arial" w:cs="Arial"/>
          <w:sz w:val="20"/>
          <w:szCs w:val="20"/>
          <w:lang w:val="en-US"/>
        </w:rPr>
        <w:t>HR</w:t>
      </w:r>
      <w:r w:rsidR="00F152B5">
        <w:rPr>
          <w:rFonts w:ascii="Arial" w:hAnsi="Arial" w:cs="Arial"/>
          <w:sz w:val="20"/>
          <w:szCs w:val="20"/>
          <w:lang w:val="en-US"/>
        </w:rPr>
        <w:t xml:space="preserve">must be strengthened </w:t>
      </w:r>
      <w:r w:rsidR="00766F20">
        <w:rPr>
          <w:rFonts w:ascii="Arial" w:hAnsi="Arial" w:cs="Arial"/>
          <w:sz w:val="20"/>
          <w:szCs w:val="20"/>
          <w:lang w:val="en-US"/>
        </w:rPr>
        <w:t xml:space="preserve">in-line with the increased demands associated with elimination. </w:t>
      </w:r>
    </w:p>
    <w:p w:rsidR="00766F20" w:rsidRPr="00766F20" w:rsidRDefault="00F152B5" w:rsidP="007205D8">
      <w:pPr>
        <w:pStyle w:val="ListParagraph"/>
        <w:numPr>
          <w:ilvl w:val="0"/>
          <w:numId w:val="9"/>
        </w:numPr>
        <w:rPr>
          <w:rFonts w:ascii="Arial" w:hAnsi="Arial" w:cs="Arial"/>
          <w:sz w:val="20"/>
          <w:szCs w:val="20"/>
        </w:rPr>
      </w:pPr>
      <w:r>
        <w:rPr>
          <w:rFonts w:ascii="Arial" w:hAnsi="Arial" w:cs="Arial"/>
          <w:sz w:val="20"/>
          <w:szCs w:val="20"/>
          <w:lang w:val="en-US"/>
        </w:rPr>
        <w:t>Domestic</w:t>
      </w:r>
      <w:r w:rsidR="00766F20" w:rsidRPr="00766F20">
        <w:rPr>
          <w:rFonts w:ascii="Arial" w:hAnsi="Arial" w:cs="Arial"/>
          <w:sz w:val="20"/>
          <w:szCs w:val="20"/>
        </w:rPr>
        <w:t xml:space="preserve"> contributions (financial and other) </w:t>
      </w:r>
      <w:r>
        <w:rPr>
          <w:rFonts w:ascii="Arial" w:hAnsi="Arial" w:cs="Arial"/>
          <w:sz w:val="20"/>
          <w:szCs w:val="20"/>
        </w:rPr>
        <w:t>must</w:t>
      </w:r>
      <w:r w:rsidR="00766F20" w:rsidRPr="00766F20">
        <w:rPr>
          <w:rFonts w:ascii="Arial" w:hAnsi="Arial" w:cs="Arial"/>
          <w:sz w:val="20"/>
          <w:szCs w:val="20"/>
        </w:rPr>
        <w:t xml:space="preserve"> increase steadily in-line with the country’s commitment to elimination.</w:t>
      </w:r>
    </w:p>
    <w:p w:rsidR="00766F20" w:rsidRPr="00766F20" w:rsidRDefault="00F152B5" w:rsidP="007205D8">
      <w:pPr>
        <w:pStyle w:val="ListParagraph"/>
        <w:numPr>
          <w:ilvl w:val="0"/>
          <w:numId w:val="9"/>
        </w:numPr>
        <w:rPr>
          <w:rFonts w:ascii="Arial" w:hAnsi="Arial" w:cs="Arial"/>
          <w:sz w:val="20"/>
          <w:szCs w:val="20"/>
        </w:rPr>
      </w:pPr>
      <w:r>
        <w:rPr>
          <w:rFonts w:ascii="Arial" w:hAnsi="Arial" w:cs="Arial"/>
          <w:sz w:val="20"/>
          <w:szCs w:val="20"/>
          <w:lang w:val="en-US"/>
        </w:rPr>
        <w:lastRenderedPageBreak/>
        <w:t>M</w:t>
      </w:r>
      <w:r w:rsidR="00766F20" w:rsidRPr="00766F20">
        <w:rPr>
          <w:rFonts w:ascii="Arial" w:hAnsi="Arial" w:cs="Arial"/>
          <w:sz w:val="20"/>
          <w:szCs w:val="20"/>
          <w:lang w:val="en-US"/>
        </w:rPr>
        <w:t xml:space="preserve">easures </w:t>
      </w:r>
      <w:r>
        <w:rPr>
          <w:rFonts w:ascii="Arial" w:hAnsi="Arial" w:cs="Arial"/>
          <w:sz w:val="20"/>
          <w:szCs w:val="20"/>
          <w:lang w:val="en-US"/>
        </w:rPr>
        <w:t xml:space="preserve">must be introduced </w:t>
      </w:r>
      <w:r w:rsidR="00766F20" w:rsidRPr="00766F20">
        <w:rPr>
          <w:rFonts w:ascii="Arial" w:hAnsi="Arial" w:cs="Arial"/>
          <w:sz w:val="20"/>
          <w:szCs w:val="20"/>
          <w:lang w:val="en-US"/>
        </w:rPr>
        <w:t>to support cross-border district-to-district coordination and action.</w:t>
      </w:r>
    </w:p>
    <w:p w:rsidR="00766F20" w:rsidRPr="00766F20" w:rsidRDefault="00F152B5" w:rsidP="007205D8">
      <w:pPr>
        <w:pStyle w:val="ListParagraph"/>
        <w:numPr>
          <w:ilvl w:val="0"/>
          <w:numId w:val="9"/>
        </w:numPr>
        <w:rPr>
          <w:rFonts w:ascii="Arial" w:hAnsi="Arial" w:cs="Arial"/>
          <w:sz w:val="20"/>
          <w:szCs w:val="20"/>
        </w:rPr>
      </w:pPr>
      <w:r>
        <w:rPr>
          <w:rFonts w:ascii="Arial" w:hAnsi="Arial" w:cs="Arial"/>
          <w:sz w:val="20"/>
          <w:szCs w:val="20"/>
        </w:rPr>
        <w:t>E</w:t>
      </w:r>
      <w:r w:rsidR="00766F20" w:rsidRPr="00766F20">
        <w:rPr>
          <w:rFonts w:ascii="Arial" w:hAnsi="Arial" w:cs="Arial"/>
          <w:sz w:val="20"/>
          <w:szCs w:val="20"/>
        </w:rPr>
        <w:t xml:space="preserve">mergency measures </w:t>
      </w:r>
      <w:r>
        <w:rPr>
          <w:rFonts w:ascii="Arial" w:hAnsi="Arial" w:cs="Arial"/>
          <w:sz w:val="20"/>
          <w:szCs w:val="20"/>
        </w:rPr>
        <w:t xml:space="preserve">must be established </w:t>
      </w:r>
      <w:r w:rsidR="00766F20" w:rsidRPr="00766F20">
        <w:rPr>
          <w:rFonts w:ascii="Arial" w:hAnsi="Arial" w:cs="Arial"/>
          <w:sz w:val="20"/>
          <w:szCs w:val="20"/>
        </w:rPr>
        <w:t xml:space="preserve">to address malaria risk in </w:t>
      </w:r>
      <w:r w:rsidR="00766F20">
        <w:rPr>
          <w:rFonts w:ascii="Arial" w:hAnsi="Arial" w:cs="Arial"/>
          <w:sz w:val="20"/>
          <w:szCs w:val="20"/>
        </w:rPr>
        <w:t>Rohingya</w:t>
      </w:r>
      <w:r w:rsidR="00E72482">
        <w:rPr>
          <w:rFonts w:ascii="Arial" w:hAnsi="Arial" w:cs="Arial"/>
          <w:sz w:val="20"/>
          <w:szCs w:val="20"/>
        </w:rPr>
        <w:t xml:space="preserve"> refugees.</w:t>
      </w:r>
    </w:p>
    <w:p w:rsidR="00F152B5" w:rsidRPr="00F152B5" w:rsidRDefault="00F152B5" w:rsidP="007205D8">
      <w:pPr>
        <w:pStyle w:val="ListParagraph"/>
        <w:numPr>
          <w:ilvl w:val="0"/>
          <w:numId w:val="9"/>
        </w:numPr>
        <w:rPr>
          <w:rFonts w:ascii="Arial" w:hAnsi="Arial" w:cs="Arial"/>
          <w:sz w:val="20"/>
          <w:szCs w:val="20"/>
        </w:rPr>
      </w:pPr>
      <w:r>
        <w:rPr>
          <w:rFonts w:ascii="Arial" w:hAnsi="Arial" w:cs="Arial"/>
          <w:sz w:val="20"/>
          <w:szCs w:val="20"/>
          <w:lang w:val="en-US"/>
        </w:rPr>
        <w:t>The advocacy, communication and social mobilization</w:t>
      </w:r>
      <w:r w:rsidRPr="00F152B5">
        <w:rPr>
          <w:rFonts w:ascii="Arial" w:hAnsi="Arial" w:cs="Arial"/>
          <w:sz w:val="20"/>
          <w:szCs w:val="20"/>
          <w:lang w:val="en-US"/>
        </w:rPr>
        <w:t xml:space="preserve"> approach </w:t>
      </w:r>
      <w:r>
        <w:rPr>
          <w:rFonts w:ascii="Arial" w:hAnsi="Arial" w:cs="Arial"/>
          <w:sz w:val="20"/>
          <w:szCs w:val="20"/>
          <w:lang w:val="en-US"/>
        </w:rPr>
        <w:t xml:space="preserve">needs to be revised </w:t>
      </w:r>
      <w:r w:rsidRPr="00F152B5">
        <w:rPr>
          <w:rFonts w:ascii="Arial" w:hAnsi="Arial" w:cs="Arial"/>
          <w:sz w:val="20"/>
          <w:szCs w:val="20"/>
          <w:lang w:val="en-US"/>
        </w:rPr>
        <w:t>in support of elimination, with materials and methodologies specifically targeting each risk group.</w:t>
      </w:r>
    </w:p>
    <w:p w:rsidR="00766F20" w:rsidRPr="001A38D3" w:rsidRDefault="00F152B5" w:rsidP="004040A5">
      <w:pPr>
        <w:pStyle w:val="ListParagraph"/>
        <w:numPr>
          <w:ilvl w:val="0"/>
          <w:numId w:val="9"/>
        </w:numPr>
        <w:spacing w:after="120" w:line="240" w:lineRule="auto"/>
        <w:rPr>
          <w:rFonts w:ascii="Arial" w:hAnsi="Arial" w:cs="Arial"/>
          <w:sz w:val="20"/>
          <w:szCs w:val="20"/>
        </w:rPr>
      </w:pPr>
      <w:r>
        <w:rPr>
          <w:rFonts w:ascii="Arial" w:hAnsi="Arial" w:cs="Arial"/>
          <w:sz w:val="20"/>
          <w:szCs w:val="20"/>
        </w:rPr>
        <w:t>Outbreak</w:t>
      </w:r>
      <w:r w:rsidR="00AB2EE4">
        <w:rPr>
          <w:rFonts w:ascii="Arial" w:hAnsi="Arial" w:cs="Arial"/>
          <w:sz w:val="20"/>
          <w:szCs w:val="20"/>
        </w:rPr>
        <w:t xml:space="preserve"> and f</w:t>
      </w:r>
      <w:r w:rsidR="006F1AF5">
        <w:rPr>
          <w:rFonts w:ascii="Arial" w:hAnsi="Arial" w:cs="Arial"/>
          <w:sz w:val="20"/>
          <w:szCs w:val="20"/>
        </w:rPr>
        <w:t>ocus</w:t>
      </w:r>
      <w:r>
        <w:rPr>
          <w:rFonts w:ascii="Arial" w:hAnsi="Arial" w:cs="Arial"/>
          <w:sz w:val="20"/>
          <w:szCs w:val="20"/>
        </w:rPr>
        <w:t xml:space="preserve"> preparedness and response </w:t>
      </w:r>
      <w:r w:rsidR="001848E0">
        <w:rPr>
          <w:rFonts w:ascii="Arial" w:hAnsi="Arial" w:cs="Arial"/>
          <w:sz w:val="20"/>
          <w:szCs w:val="20"/>
        </w:rPr>
        <w:t>capacity</w:t>
      </w:r>
      <w:r>
        <w:rPr>
          <w:rFonts w:ascii="Arial" w:hAnsi="Arial" w:cs="Arial"/>
          <w:sz w:val="20"/>
          <w:szCs w:val="20"/>
        </w:rPr>
        <w:t>needs to be strengthened.</w:t>
      </w:r>
    </w:p>
    <w:p w:rsidR="0065486D" w:rsidRDefault="0065486D" w:rsidP="004040A5">
      <w:pPr>
        <w:pStyle w:val="ListParagraph"/>
        <w:spacing w:after="120" w:line="240" w:lineRule="auto"/>
        <w:ind w:left="0"/>
        <w:rPr>
          <w:rFonts w:ascii="Arial" w:hAnsi="Arial" w:cs="Arial"/>
          <w:sz w:val="20"/>
          <w:szCs w:val="20"/>
        </w:rPr>
      </w:pPr>
    </w:p>
    <w:p w:rsidR="001753B4" w:rsidRPr="0065486D" w:rsidRDefault="0065486D" w:rsidP="004040A5">
      <w:pPr>
        <w:pStyle w:val="ListParagraph"/>
        <w:spacing w:after="120" w:line="240" w:lineRule="auto"/>
        <w:ind w:left="0"/>
        <w:rPr>
          <w:rFonts w:ascii="Arial" w:hAnsi="Arial" w:cs="Arial"/>
          <w:sz w:val="20"/>
          <w:szCs w:val="20"/>
        </w:rPr>
      </w:pPr>
      <w:r w:rsidRPr="0065486D">
        <w:rPr>
          <w:rFonts w:ascii="Arial" w:hAnsi="Arial" w:cs="Arial"/>
          <w:sz w:val="20"/>
          <w:szCs w:val="20"/>
        </w:rPr>
        <w:t xml:space="preserve">All of the issues identified above have been addressed in the newly developed NSPME 2017-21, including those relating to the priority activities covered by this funding request. </w:t>
      </w:r>
    </w:p>
    <w:p w:rsidR="00F04A4C" w:rsidRDefault="00F04A4C" w:rsidP="004040A5">
      <w:pPr>
        <w:pStyle w:val="ListParagraph"/>
        <w:spacing w:after="120" w:line="240" w:lineRule="auto"/>
        <w:ind w:left="0"/>
      </w:pPr>
    </w:p>
    <w:p w:rsidR="00C132E8" w:rsidRPr="004040A5" w:rsidRDefault="00784569" w:rsidP="004040A5">
      <w:pPr>
        <w:widowControl w:val="0"/>
        <w:autoSpaceDE w:val="0"/>
        <w:autoSpaceDN w:val="0"/>
        <w:adjustRightInd w:val="0"/>
        <w:spacing w:after="120" w:line="240" w:lineRule="auto"/>
        <w:rPr>
          <w:rFonts w:ascii="Arial" w:hAnsi="Arial" w:cs="Arial"/>
          <w:lang w:val="en-US"/>
        </w:rPr>
      </w:pPr>
      <w:r w:rsidRPr="004040A5">
        <w:rPr>
          <w:rFonts w:ascii="Arial" w:hAnsi="Arial" w:cs="Arial"/>
        </w:rPr>
        <w:t>b).</w:t>
      </w:r>
      <w:r w:rsidR="00C132E8" w:rsidRPr="004040A5">
        <w:rPr>
          <w:rFonts w:ascii="Arial" w:hAnsi="Arial" w:cs="Arial"/>
          <w:lang w:val="en-US"/>
        </w:rPr>
        <w:t>Bangladesh did not receive any HSS-specific grant during 2014-16, but some HSS investments were embedded in the NFM grant.</w:t>
      </w:r>
    </w:p>
    <w:p w:rsidR="00C132E8" w:rsidRPr="004040A5" w:rsidRDefault="001753B4" w:rsidP="004040A5">
      <w:pPr>
        <w:widowControl w:val="0"/>
        <w:autoSpaceDE w:val="0"/>
        <w:autoSpaceDN w:val="0"/>
        <w:adjustRightInd w:val="0"/>
        <w:spacing w:after="120" w:line="240" w:lineRule="auto"/>
        <w:rPr>
          <w:rFonts w:ascii="Arial" w:hAnsi="Arial" w:cs="Arial"/>
          <w:lang w:val="en-US"/>
        </w:rPr>
      </w:pPr>
      <w:r>
        <w:rPr>
          <w:rFonts w:ascii="Arial" w:hAnsi="Arial" w:cs="Arial"/>
          <w:lang w:val="en-US"/>
        </w:rPr>
        <w:t>C</w:t>
      </w:r>
      <w:r w:rsidR="00C132E8" w:rsidRPr="004040A5">
        <w:rPr>
          <w:rFonts w:ascii="Arial" w:hAnsi="Arial" w:cs="Arial"/>
          <w:lang w:val="en-US"/>
        </w:rPr>
        <w:t>ommunity clinic</w:t>
      </w:r>
      <w:r w:rsidR="00C132E8">
        <w:rPr>
          <w:rFonts w:ascii="Arial" w:hAnsi="Arial" w:cs="Arial"/>
          <w:lang w:val="en-US"/>
        </w:rPr>
        <w:t>sare</w:t>
      </w:r>
      <w:r w:rsidR="00C132E8" w:rsidRPr="004040A5">
        <w:rPr>
          <w:rFonts w:ascii="Arial" w:hAnsi="Arial" w:cs="Arial"/>
          <w:lang w:val="en-US"/>
        </w:rPr>
        <w:t xml:space="preserve"> a </w:t>
      </w:r>
      <w:r>
        <w:rPr>
          <w:rFonts w:ascii="Arial" w:hAnsi="Arial" w:cs="Arial"/>
          <w:lang w:val="en-US"/>
        </w:rPr>
        <w:t>relatively</w:t>
      </w:r>
      <w:r w:rsidR="00C132E8" w:rsidRPr="004040A5">
        <w:rPr>
          <w:rFonts w:ascii="Arial" w:hAnsi="Arial" w:cs="Arial"/>
          <w:lang w:val="en-US"/>
        </w:rPr>
        <w:t xml:space="preserve"> new concept of </w:t>
      </w:r>
      <w:r w:rsidR="00C132E8">
        <w:rPr>
          <w:rFonts w:ascii="Arial" w:hAnsi="Arial" w:cs="Arial"/>
          <w:lang w:val="en-US"/>
        </w:rPr>
        <w:t xml:space="preserve">the </w:t>
      </w:r>
      <w:r w:rsidR="00C132E8" w:rsidRPr="004040A5">
        <w:rPr>
          <w:rFonts w:ascii="Arial" w:hAnsi="Arial" w:cs="Arial"/>
          <w:lang w:val="en-US"/>
        </w:rPr>
        <w:t>Bangladesh Government</w:t>
      </w:r>
      <w:r>
        <w:rPr>
          <w:rFonts w:ascii="Arial" w:hAnsi="Arial" w:cs="Arial"/>
          <w:lang w:val="en-US"/>
        </w:rPr>
        <w:t xml:space="preserve">. They weredesigned </w:t>
      </w:r>
      <w:r w:rsidRPr="004040A5">
        <w:rPr>
          <w:rFonts w:ascii="Arial" w:hAnsi="Arial" w:cs="Arial"/>
          <w:lang w:val="en-US"/>
        </w:rPr>
        <w:t>to provide health</w:t>
      </w:r>
      <w:r w:rsidR="00C132E8" w:rsidRPr="004040A5">
        <w:rPr>
          <w:rFonts w:ascii="Arial" w:hAnsi="Arial" w:cs="Arial"/>
          <w:lang w:val="en-US"/>
        </w:rPr>
        <w:t>care service</w:t>
      </w:r>
      <w:r w:rsidR="00C132E8">
        <w:rPr>
          <w:rFonts w:ascii="Arial" w:hAnsi="Arial" w:cs="Arial"/>
          <w:lang w:val="en-US"/>
        </w:rPr>
        <w:t>s</w:t>
      </w:r>
      <w:r w:rsidR="00C132E8" w:rsidRPr="004040A5">
        <w:rPr>
          <w:rFonts w:ascii="Arial" w:hAnsi="Arial" w:cs="Arial"/>
          <w:lang w:val="en-US"/>
        </w:rPr>
        <w:t xml:space="preserve"> at community level. </w:t>
      </w:r>
      <w:r>
        <w:rPr>
          <w:rFonts w:ascii="Arial" w:hAnsi="Arial" w:cs="Arial"/>
          <w:lang w:val="en-US"/>
        </w:rPr>
        <w:t>With GF support, the</w:t>
      </w:r>
      <w:r w:rsidR="00C132E8">
        <w:rPr>
          <w:rFonts w:ascii="Arial" w:hAnsi="Arial" w:cs="Arial"/>
          <w:lang w:val="en-US"/>
        </w:rPr>
        <w:t xml:space="preserve"> Programme</w:t>
      </w:r>
      <w:r>
        <w:rPr>
          <w:rFonts w:ascii="Arial" w:hAnsi="Arial" w:cs="Arial"/>
          <w:lang w:val="en-US"/>
        </w:rPr>
        <w:t xml:space="preserve">has established malaria cases management services at </w:t>
      </w:r>
      <w:r w:rsidRPr="00A96D04">
        <w:rPr>
          <w:rFonts w:ascii="Arial" w:hAnsi="Arial" w:cs="Arial"/>
          <w:lang w:val="en-US"/>
        </w:rPr>
        <w:t>community clinic</w:t>
      </w:r>
      <w:r w:rsidRPr="0010482A">
        <w:rPr>
          <w:rFonts w:ascii="Arial" w:hAnsi="Arial" w:cs="Arial"/>
          <w:lang w:val="en-US"/>
        </w:rPr>
        <w:t xml:space="preserve">s </w:t>
      </w:r>
      <w:r>
        <w:rPr>
          <w:rFonts w:ascii="Arial" w:hAnsi="Arial" w:cs="Arial"/>
          <w:lang w:val="en-US"/>
        </w:rPr>
        <w:t>through training and through the provision of diagnostics and</w:t>
      </w:r>
      <w:r w:rsidR="00C132E8" w:rsidRPr="004040A5">
        <w:rPr>
          <w:rFonts w:ascii="Arial" w:hAnsi="Arial" w:cs="Arial"/>
          <w:lang w:val="en-US"/>
        </w:rPr>
        <w:t xml:space="preserve"> antimalarial</w:t>
      </w:r>
      <w:r>
        <w:rPr>
          <w:rFonts w:ascii="Arial" w:hAnsi="Arial" w:cs="Arial"/>
          <w:lang w:val="en-US"/>
        </w:rPr>
        <w:t>s</w:t>
      </w:r>
      <w:r w:rsidR="00584F71">
        <w:rPr>
          <w:rFonts w:ascii="Arial" w:hAnsi="Arial" w:cs="Arial"/>
          <w:lang w:val="en-US"/>
        </w:rPr>
        <w:t>. This intervention has significantly improved access to services in the periphery</w:t>
      </w:r>
      <w:r w:rsidR="00C132E8" w:rsidRPr="004040A5">
        <w:rPr>
          <w:rFonts w:ascii="Arial" w:hAnsi="Arial" w:cs="Arial"/>
          <w:lang w:val="en-US"/>
        </w:rPr>
        <w:t xml:space="preserve">. </w:t>
      </w:r>
    </w:p>
    <w:p w:rsidR="00C132E8" w:rsidRPr="004040A5" w:rsidRDefault="00C132E8" w:rsidP="004040A5">
      <w:pPr>
        <w:widowControl w:val="0"/>
        <w:autoSpaceDE w:val="0"/>
        <w:autoSpaceDN w:val="0"/>
        <w:adjustRightInd w:val="0"/>
        <w:spacing w:after="120" w:line="240" w:lineRule="auto"/>
        <w:rPr>
          <w:rFonts w:ascii="Arial" w:hAnsi="Arial" w:cs="Arial"/>
          <w:lang w:val="en-US"/>
        </w:rPr>
      </w:pPr>
      <w:r w:rsidRPr="004040A5">
        <w:rPr>
          <w:rFonts w:ascii="Arial" w:hAnsi="Arial" w:cs="Arial"/>
          <w:lang w:val="en-US"/>
        </w:rPr>
        <w:t xml:space="preserve">In parallel to the </w:t>
      </w:r>
      <w:r w:rsidR="001753B4">
        <w:rPr>
          <w:rFonts w:ascii="Arial" w:hAnsi="Arial" w:cs="Arial"/>
          <w:lang w:val="en-US"/>
        </w:rPr>
        <w:t>government r</w:t>
      </w:r>
      <w:r w:rsidRPr="004040A5">
        <w:rPr>
          <w:rFonts w:ascii="Arial" w:hAnsi="Arial" w:cs="Arial"/>
          <w:lang w:val="en-US"/>
        </w:rPr>
        <w:t xml:space="preserve">eferral system, </w:t>
      </w:r>
      <w:r w:rsidR="001753B4">
        <w:rPr>
          <w:rFonts w:ascii="Arial" w:hAnsi="Arial" w:cs="Arial"/>
          <w:lang w:val="en-US"/>
        </w:rPr>
        <w:t>BRAC</w:t>
      </w:r>
      <w:r w:rsidRPr="004040A5">
        <w:rPr>
          <w:rFonts w:ascii="Arial" w:hAnsi="Arial" w:cs="Arial"/>
          <w:lang w:val="en-US"/>
        </w:rPr>
        <w:t xml:space="preserve"> has built a unique referral system </w:t>
      </w:r>
      <w:r w:rsidR="001753B4">
        <w:rPr>
          <w:rFonts w:ascii="Arial" w:hAnsi="Arial" w:cs="Arial"/>
          <w:lang w:val="en-US"/>
        </w:rPr>
        <w:t xml:space="preserve">for </w:t>
      </w:r>
      <w:r w:rsidRPr="004040A5">
        <w:rPr>
          <w:rFonts w:ascii="Arial" w:hAnsi="Arial" w:cs="Arial"/>
          <w:lang w:val="en-US"/>
        </w:rPr>
        <w:t xml:space="preserve">malaria patients using </w:t>
      </w:r>
      <w:r w:rsidR="001753B4">
        <w:rPr>
          <w:rFonts w:ascii="Arial" w:hAnsi="Arial" w:cs="Arial"/>
          <w:lang w:val="en-US"/>
        </w:rPr>
        <w:t>the current</w:t>
      </w:r>
      <w:r w:rsidRPr="004040A5">
        <w:rPr>
          <w:rFonts w:ascii="Arial" w:hAnsi="Arial" w:cs="Arial"/>
          <w:lang w:val="en-US"/>
        </w:rPr>
        <w:t xml:space="preserve"> grant. During</w:t>
      </w:r>
      <w:r w:rsidR="001753B4">
        <w:rPr>
          <w:rFonts w:ascii="Arial" w:hAnsi="Arial" w:cs="Arial"/>
          <w:lang w:val="en-US"/>
        </w:rPr>
        <w:t xml:space="preserve"> the</w:t>
      </w:r>
      <w:r w:rsidRPr="004040A5">
        <w:rPr>
          <w:rFonts w:ascii="Arial" w:hAnsi="Arial" w:cs="Arial"/>
          <w:lang w:val="en-US"/>
        </w:rPr>
        <w:t xml:space="preserve"> first 2 years of this grant, more than 100 severe </w:t>
      </w:r>
      <w:r w:rsidR="001753B4">
        <w:rPr>
          <w:rFonts w:ascii="Arial" w:hAnsi="Arial" w:cs="Arial"/>
          <w:lang w:val="en-US"/>
        </w:rPr>
        <w:t xml:space="preserve">or complicated </w:t>
      </w:r>
      <w:r w:rsidRPr="004040A5">
        <w:rPr>
          <w:rFonts w:ascii="Arial" w:hAnsi="Arial" w:cs="Arial"/>
          <w:lang w:val="en-US"/>
        </w:rPr>
        <w:t>malaria patients were refereed from community</w:t>
      </w:r>
      <w:r w:rsidR="001753B4">
        <w:rPr>
          <w:rFonts w:ascii="Arial" w:hAnsi="Arial" w:cs="Arial"/>
          <w:lang w:val="en-US"/>
        </w:rPr>
        <w:t xml:space="preserve"> level</w:t>
      </w:r>
      <w:r w:rsidRPr="004040A5">
        <w:rPr>
          <w:rFonts w:ascii="Arial" w:hAnsi="Arial" w:cs="Arial"/>
          <w:lang w:val="en-US"/>
        </w:rPr>
        <w:t xml:space="preserve"> to upazila</w:t>
      </w:r>
      <w:r w:rsidR="001753B4">
        <w:rPr>
          <w:rFonts w:ascii="Arial" w:hAnsi="Arial" w:cs="Arial"/>
          <w:lang w:val="en-US"/>
        </w:rPr>
        <w:t xml:space="preserve">, </w:t>
      </w:r>
      <w:r w:rsidRPr="004040A5">
        <w:rPr>
          <w:rFonts w:ascii="Arial" w:hAnsi="Arial" w:cs="Arial"/>
          <w:lang w:val="en-US"/>
        </w:rPr>
        <w:t>district</w:t>
      </w:r>
      <w:r w:rsidR="001753B4">
        <w:rPr>
          <w:rFonts w:ascii="Arial" w:hAnsi="Arial" w:cs="Arial"/>
          <w:lang w:val="en-US"/>
        </w:rPr>
        <w:t xml:space="preserve"> or </w:t>
      </w:r>
      <w:r w:rsidRPr="004040A5">
        <w:rPr>
          <w:rFonts w:ascii="Arial" w:hAnsi="Arial" w:cs="Arial"/>
          <w:lang w:val="en-US"/>
        </w:rPr>
        <w:t xml:space="preserve">tertiary level public health facilities. NGO workers </w:t>
      </w:r>
      <w:r w:rsidR="001753B4">
        <w:rPr>
          <w:rFonts w:ascii="Arial" w:hAnsi="Arial" w:cs="Arial"/>
          <w:lang w:val="en-US"/>
        </w:rPr>
        <w:t>we</w:t>
      </w:r>
      <w:r w:rsidRPr="004040A5">
        <w:rPr>
          <w:rFonts w:ascii="Arial" w:hAnsi="Arial" w:cs="Arial"/>
          <w:lang w:val="en-US"/>
        </w:rPr>
        <w:t xml:space="preserve">re directly involved </w:t>
      </w:r>
      <w:r w:rsidR="001753B4">
        <w:rPr>
          <w:rFonts w:ascii="Arial" w:hAnsi="Arial" w:cs="Arial"/>
          <w:lang w:val="en-US"/>
        </w:rPr>
        <w:t>in the</w:t>
      </w:r>
      <w:r w:rsidRPr="004040A5">
        <w:rPr>
          <w:rFonts w:ascii="Arial" w:hAnsi="Arial" w:cs="Arial"/>
          <w:lang w:val="en-US"/>
        </w:rPr>
        <w:t xml:space="preserve"> transportation of patients </w:t>
      </w:r>
      <w:r w:rsidR="001753B4" w:rsidRPr="00956707">
        <w:rPr>
          <w:rFonts w:ascii="Arial" w:hAnsi="Arial" w:cs="Arial"/>
          <w:lang w:val="en-US"/>
        </w:rPr>
        <w:t xml:space="preserve">referred </w:t>
      </w:r>
      <w:r w:rsidRPr="004040A5">
        <w:rPr>
          <w:rFonts w:ascii="Arial" w:hAnsi="Arial" w:cs="Arial"/>
          <w:lang w:val="en-US"/>
        </w:rPr>
        <w:t xml:space="preserve">from hard-to-reach areas. All related costs were born </w:t>
      </w:r>
      <w:r w:rsidR="001753B4">
        <w:rPr>
          <w:rFonts w:ascii="Arial" w:hAnsi="Arial" w:cs="Arial"/>
          <w:lang w:val="en-US"/>
        </w:rPr>
        <w:t>by the</w:t>
      </w:r>
      <w:r w:rsidRPr="004040A5">
        <w:rPr>
          <w:rFonts w:ascii="Arial" w:hAnsi="Arial" w:cs="Arial"/>
          <w:lang w:val="en-US"/>
        </w:rPr>
        <w:t xml:space="preserve"> grant. This system has </w:t>
      </w:r>
      <w:r w:rsidR="001753B4">
        <w:rPr>
          <w:rFonts w:ascii="Arial" w:hAnsi="Arial" w:cs="Arial"/>
          <w:lang w:val="en-US"/>
        </w:rPr>
        <w:t>undoubtedly had</w:t>
      </w:r>
      <w:r w:rsidRPr="004040A5">
        <w:rPr>
          <w:rFonts w:ascii="Arial" w:hAnsi="Arial" w:cs="Arial"/>
          <w:lang w:val="en-US"/>
        </w:rPr>
        <w:t xml:space="preserve"> a high impact in </w:t>
      </w:r>
      <w:r w:rsidR="001753B4">
        <w:rPr>
          <w:rFonts w:ascii="Arial" w:hAnsi="Arial" w:cs="Arial"/>
          <w:lang w:val="en-US"/>
        </w:rPr>
        <w:t xml:space="preserve">terms of </w:t>
      </w:r>
      <w:r w:rsidRPr="004040A5">
        <w:rPr>
          <w:rFonts w:ascii="Arial" w:hAnsi="Arial" w:cs="Arial"/>
          <w:lang w:val="en-US"/>
        </w:rPr>
        <w:t>saving lives.  </w:t>
      </w:r>
    </w:p>
    <w:p w:rsidR="00784569" w:rsidRDefault="00784569" w:rsidP="004040A5">
      <w:pPr>
        <w:spacing w:after="120" w:line="240" w:lineRule="auto"/>
        <w:rPr>
          <w:rFonts w:ascii="Arial" w:hAnsi="Arial" w:cs="Arial"/>
          <w:sz w:val="20"/>
          <w:szCs w:val="20"/>
        </w:rPr>
      </w:pPr>
    </w:p>
    <w:p w:rsidR="00FE411C" w:rsidRPr="006B7572" w:rsidRDefault="00784569">
      <w:pPr>
        <w:rPr>
          <w:rFonts w:ascii="Arial" w:hAnsi="Arial" w:cs="Arial"/>
          <w:sz w:val="20"/>
          <w:szCs w:val="20"/>
        </w:rPr>
      </w:pPr>
      <w:r>
        <w:rPr>
          <w:rFonts w:ascii="Arial" w:hAnsi="Arial" w:cs="Arial"/>
          <w:sz w:val="20"/>
          <w:szCs w:val="20"/>
        </w:rPr>
        <w:t>c). There has not been any investment by other donors during the period in question</w:t>
      </w:r>
      <w:r w:rsidR="00FB22F6">
        <w:rPr>
          <w:rFonts w:ascii="Arial" w:hAnsi="Arial" w:cs="Arial"/>
          <w:sz w:val="20"/>
          <w:szCs w:val="20"/>
        </w:rPr>
        <w:t>.</w:t>
      </w:r>
      <w:r w:rsidR="00FE411C" w:rsidRPr="006B7572">
        <w:rPr>
          <w:rFonts w:ascii="Arial" w:hAnsi="Arial" w:cs="Arial"/>
          <w:sz w:val="20"/>
          <w:szCs w:val="20"/>
        </w:rPr>
        <w:br w:type="page"/>
      </w:r>
    </w:p>
    <w:tbl>
      <w:tblPr>
        <w:tblW w:w="8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8960"/>
      </w:tblGrid>
      <w:tr w:rsidR="00042DCA" w:rsidRPr="006B7572" w:rsidTr="00401EBB">
        <w:trPr>
          <w:trHeight w:val="332"/>
          <w:jc w:val="center"/>
        </w:trPr>
        <w:tc>
          <w:tcPr>
            <w:tcW w:w="8960" w:type="dxa"/>
            <w:shd w:val="clear" w:color="auto" w:fill="1F497D"/>
          </w:tcPr>
          <w:p w:rsidR="00042DCA" w:rsidRPr="006B7572" w:rsidRDefault="00042DCA" w:rsidP="00042DCA">
            <w:pPr>
              <w:spacing w:before="120" w:after="120" w:line="240" w:lineRule="auto"/>
              <w:jc w:val="both"/>
              <w:rPr>
                <w:rFonts w:ascii="Arial" w:eastAsia="Calibri" w:hAnsi="Arial" w:cs="Arial"/>
                <w:bCs/>
                <w:sz w:val="20"/>
                <w:szCs w:val="20"/>
                <w:lang w:val="en-US"/>
              </w:rPr>
            </w:pPr>
            <w:r w:rsidRPr="006B7572">
              <w:rPr>
                <w:rFonts w:ascii="Arial" w:eastAsia="Calibri" w:hAnsi="Arial" w:cs="Arial"/>
                <w:b/>
                <w:bCs/>
                <w:color w:val="FFFFFF"/>
                <w:sz w:val="20"/>
                <w:szCs w:val="20"/>
                <w:lang w:val="en-US"/>
              </w:rPr>
              <w:lastRenderedPageBreak/>
              <w:t>SECTION 2: FUNDING REQUEST</w:t>
            </w:r>
            <w:r w:rsidR="00142F1D" w:rsidRPr="006B7572">
              <w:rPr>
                <w:rFonts w:ascii="Arial" w:eastAsia="Calibri" w:hAnsi="Arial" w:cs="Arial"/>
                <w:b/>
                <w:bCs/>
                <w:color w:val="FFFFFF"/>
                <w:sz w:val="20"/>
                <w:szCs w:val="20"/>
                <w:lang w:val="en-US"/>
              </w:rPr>
              <w:t xml:space="preserve"> (Within Allocation)</w:t>
            </w:r>
          </w:p>
        </w:tc>
      </w:tr>
      <w:tr w:rsidR="00042DCA" w:rsidRPr="006B7572" w:rsidTr="00401EBB">
        <w:trPr>
          <w:trHeight w:val="332"/>
          <w:jc w:val="center"/>
        </w:trPr>
        <w:tc>
          <w:tcPr>
            <w:tcW w:w="8960" w:type="dxa"/>
            <w:shd w:val="clear" w:color="auto" w:fill="F2F2F2" w:themeFill="background1" w:themeFillShade="F2"/>
          </w:tcPr>
          <w:p w:rsidR="00DF1CDD" w:rsidRPr="006B7572" w:rsidRDefault="007A704C" w:rsidP="00DF1CDD">
            <w:pPr>
              <w:keepNext/>
              <w:keepLines/>
              <w:spacing w:before="120" w:after="120" w:line="240" w:lineRule="auto"/>
              <w:jc w:val="both"/>
              <w:rPr>
                <w:rFonts w:ascii="Arial" w:eastAsia="Calibri" w:hAnsi="Arial" w:cs="Arial"/>
                <w:bCs/>
                <w:iCs/>
                <w:sz w:val="20"/>
                <w:szCs w:val="20"/>
                <w:lang w:val="en-US"/>
              </w:rPr>
            </w:pPr>
            <w:r w:rsidRPr="006B7572">
              <w:rPr>
                <w:rFonts w:ascii="Arial" w:eastAsia="Calibri" w:hAnsi="Arial" w:cs="Arial"/>
                <w:bCs/>
                <w:iCs/>
                <w:sz w:val="20"/>
                <w:szCs w:val="20"/>
                <w:lang w:val="en-US"/>
              </w:rPr>
              <w:t xml:space="preserve">This section should </w:t>
            </w:r>
            <w:r w:rsidR="00CC0842" w:rsidRPr="006B7572">
              <w:rPr>
                <w:rFonts w:ascii="Arial" w:eastAsia="Calibri" w:hAnsi="Arial" w:cs="Arial"/>
                <w:bCs/>
                <w:iCs/>
                <w:sz w:val="20"/>
                <w:szCs w:val="20"/>
                <w:lang w:val="en-US"/>
              </w:rPr>
              <w:t>describe</w:t>
            </w:r>
            <w:r w:rsidR="00A8340A" w:rsidRPr="006B7572">
              <w:rPr>
                <w:rFonts w:ascii="Arial" w:eastAsia="Calibri" w:hAnsi="Arial" w:cs="Arial"/>
                <w:bCs/>
                <w:iCs/>
                <w:sz w:val="20"/>
                <w:szCs w:val="20"/>
                <w:lang w:val="en-US"/>
              </w:rPr>
              <w:t xml:space="preserve">and provide a </w:t>
            </w:r>
            <w:r w:rsidR="00A8340A" w:rsidRPr="00096485">
              <w:rPr>
                <w:rFonts w:ascii="Arial" w:eastAsia="Calibri" w:hAnsi="Arial" w:cs="Arial"/>
                <w:bCs/>
                <w:iCs/>
                <w:color w:val="FF0000"/>
                <w:sz w:val="20"/>
                <w:szCs w:val="20"/>
                <w:lang w:val="en-US"/>
              </w:rPr>
              <w:t xml:space="preserve">rationale for </w:t>
            </w:r>
            <w:r w:rsidRPr="00096485">
              <w:rPr>
                <w:rFonts w:ascii="Arial" w:eastAsia="Calibri" w:hAnsi="Arial" w:cs="Arial"/>
                <w:bCs/>
                <w:iCs/>
                <w:color w:val="FF0000"/>
                <w:sz w:val="20"/>
                <w:szCs w:val="20"/>
                <w:lang w:val="en-US"/>
              </w:rPr>
              <w:t xml:space="preserve">the </w:t>
            </w:r>
            <w:r w:rsidR="00CC0842" w:rsidRPr="00096485">
              <w:rPr>
                <w:rFonts w:ascii="Arial" w:hAnsi="Arial" w:cs="Arial"/>
                <w:color w:val="FF0000"/>
                <w:sz w:val="20"/>
                <w:szCs w:val="20"/>
              </w:rPr>
              <w:t>program</w:t>
            </w:r>
            <w:r w:rsidRPr="00096485">
              <w:rPr>
                <w:rFonts w:ascii="Arial" w:hAnsi="Arial" w:cs="Arial"/>
                <w:color w:val="FF0000"/>
                <w:sz w:val="20"/>
                <w:szCs w:val="20"/>
              </w:rPr>
              <w:t xml:space="preserve"> elements proposed </w:t>
            </w:r>
            <w:r w:rsidR="00A8340A" w:rsidRPr="00096485">
              <w:rPr>
                <w:rFonts w:ascii="Arial" w:hAnsi="Arial" w:cs="Arial"/>
                <w:color w:val="FF0000"/>
                <w:sz w:val="20"/>
                <w:szCs w:val="20"/>
              </w:rPr>
              <w:t>for this funding request</w:t>
            </w:r>
            <w:r w:rsidRPr="00096485">
              <w:rPr>
                <w:rFonts w:ascii="Arial" w:hAnsi="Arial" w:cs="Arial"/>
                <w:color w:val="FF0000"/>
                <w:sz w:val="20"/>
                <w:szCs w:val="20"/>
              </w:rPr>
              <w:t>.</w:t>
            </w:r>
            <w:r w:rsidR="00027F87" w:rsidRPr="006B7572">
              <w:rPr>
                <w:rFonts w:ascii="Arial" w:eastAsia="Calibri" w:hAnsi="Arial" w:cs="Arial"/>
                <w:bCs/>
                <w:iCs/>
                <w:sz w:val="20"/>
                <w:szCs w:val="20"/>
                <w:lang w:val="en-US"/>
              </w:rPr>
              <w:t>A</w:t>
            </w:r>
            <w:r w:rsidR="00042DCA" w:rsidRPr="006B7572">
              <w:rPr>
                <w:rFonts w:ascii="Arial" w:eastAsia="Calibri" w:hAnsi="Arial" w:cs="Arial"/>
                <w:bCs/>
                <w:iCs/>
                <w:sz w:val="20"/>
                <w:szCs w:val="20"/>
                <w:lang w:val="en-US"/>
              </w:rPr>
              <w:t xml:space="preserve">ttach </w:t>
            </w:r>
            <w:r w:rsidR="00DF1CDD" w:rsidRPr="006B7572">
              <w:rPr>
                <w:rFonts w:ascii="Arial" w:eastAsia="Calibri" w:hAnsi="Arial" w:cs="Arial"/>
                <w:bCs/>
                <w:iCs/>
                <w:sz w:val="20"/>
                <w:szCs w:val="20"/>
                <w:lang w:val="en-US"/>
              </w:rPr>
              <w:t>and refer to</w:t>
            </w:r>
            <w:r w:rsidR="008D7F0E" w:rsidRPr="006B7572">
              <w:rPr>
                <w:rFonts w:ascii="Arial" w:eastAsia="Calibri" w:hAnsi="Arial" w:cs="Arial"/>
                <w:bCs/>
                <w:iCs/>
                <w:sz w:val="20"/>
                <w:szCs w:val="20"/>
                <w:lang w:val="en-US"/>
              </w:rPr>
              <w:t xml:space="preserve"> completed</w:t>
            </w:r>
            <w:r w:rsidR="00042DCA" w:rsidRPr="006B7572">
              <w:rPr>
                <w:rFonts w:ascii="Arial" w:eastAsia="Calibri" w:hAnsi="Arial" w:cs="Arial"/>
                <w:b/>
                <w:bCs/>
                <w:iCs/>
                <w:sz w:val="20"/>
                <w:szCs w:val="20"/>
                <w:lang w:val="en-US"/>
              </w:rPr>
              <w:t>Programmatic Gap Table(s), Funding Landscape Table</w:t>
            </w:r>
            <w:r w:rsidR="008D7F0E" w:rsidRPr="006B7572">
              <w:rPr>
                <w:rFonts w:ascii="Arial" w:eastAsia="Calibri" w:hAnsi="Arial" w:cs="Arial"/>
                <w:b/>
                <w:bCs/>
                <w:iCs/>
                <w:sz w:val="20"/>
                <w:szCs w:val="20"/>
                <w:lang w:val="en-US"/>
              </w:rPr>
              <w:t>(s)</w:t>
            </w:r>
            <w:r w:rsidR="00042DCA" w:rsidRPr="006B7572">
              <w:rPr>
                <w:rFonts w:ascii="Arial" w:eastAsia="Calibri" w:hAnsi="Arial" w:cs="Arial"/>
                <w:b/>
                <w:bCs/>
                <w:iCs/>
                <w:sz w:val="20"/>
                <w:szCs w:val="20"/>
                <w:lang w:val="en-US"/>
              </w:rPr>
              <w:t xml:space="preserve">, </w:t>
            </w:r>
            <w:r w:rsidR="00DF1CDD" w:rsidRPr="006B7572">
              <w:rPr>
                <w:rFonts w:ascii="Arial" w:eastAsia="Calibri" w:hAnsi="Arial" w:cs="Arial"/>
                <w:b/>
                <w:bCs/>
                <w:iCs/>
                <w:sz w:val="20"/>
                <w:szCs w:val="20"/>
                <w:lang w:val="en-US"/>
              </w:rPr>
              <w:t>Performance Framework and Budget</w:t>
            </w:r>
            <w:r w:rsidR="00CC0842" w:rsidRPr="006B7572">
              <w:rPr>
                <w:rFonts w:ascii="Arial" w:eastAsia="Calibri" w:hAnsi="Arial" w:cs="Arial"/>
                <w:bCs/>
                <w:iCs/>
                <w:sz w:val="20"/>
                <w:szCs w:val="20"/>
                <w:lang w:val="en-US"/>
              </w:rPr>
              <w:t>, and refer to national strategy documents as applicable.</w:t>
            </w:r>
          </w:p>
          <w:p w:rsidR="00042DCA" w:rsidRPr="006B7572" w:rsidRDefault="001C281C" w:rsidP="00AB3764">
            <w:pPr>
              <w:keepNext/>
              <w:keepLines/>
              <w:spacing w:before="120" w:after="120" w:line="240" w:lineRule="auto"/>
              <w:jc w:val="both"/>
              <w:rPr>
                <w:rFonts w:ascii="Arial" w:eastAsia="Calibri" w:hAnsi="Arial" w:cs="Arial"/>
                <w:sz w:val="20"/>
                <w:szCs w:val="20"/>
                <w:lang w:val="en-US"/>
              </w:rPr>
            </w:pPr>
            <w:r w:rsidRPr="006B7572">
              <w:rPr>
                <w:rFonts w:ascii="Arial" w:eastAsia="Calibri" w:hAnsi="Arial" w:cs="Arial"/>
                <w:bCs/>
                <w:iCs/>
                <w:sz w:val="20"/>
                <w:szCs w:val="20"/>
                <w:lang w:val="en-US"/>
              </w:rPr>
              <w:t>To respond, r</w:t>
            </w:r>
            <w:r w:rsidR="00042DCA" w:rsidRPr="006B7572">
              <w:rPr>
                <w:rFonts w:ascii="Arial" w:eastAsia="Calibri" w:hAnsi="Arial" w:cs="Arial"/>
                <w:bCs/>
                <w:iCs/>
                <w:sz w:val="20"/>
                <w:szCs w:val="20"/>
                <w:lang w:val="en-US"/>
              </w:rPr>
              <w:t>efer to</w:t>
            </w:r>
            <w:r w:rsidR="006E048B" w:rsidRPr="006B7572">
              <w:rPr>
                <w:rFonts w:ascii="Arial" w:eastAsia="Calibri" w:hAnsi="Arial" w:cs="Arial"/>
                <w:sz w:val="20"/>
                <w:szCs w:val="20"/>
                <w:lang w:val="en-US"/>
              </w:rPr>
              <w:t>additional</w:t>
            </w:r>
            <w:r w:rsidR="005265DB" w:rsidRPr="006B7572">
              <w:rPr>
                <w:rFonts w:ascii="Arial" w:eastAsia="Calibri" w:hAnsi="Arial" w:cs="Arial"/>
                <w:bCs/>
                <w:iCs/>
                <w:sz w:val="20"/>
                <w:szCs w:val="20"/>
                <w:lang w:val="en-US"/>
              </w:rPr>
              <w:t>guidance</w:t>
            </w:r>
            <w:r w:rsidR="00D51B37" w:rsidRPr="006B7572">
              <w:rPr>
                <w:rFonts w:ascii="Arial" w:eastAsia="Calibri" w:hAnsi="Arial" w:cs="Arial"/>
                <w:bCs/>
                <w:iCs/>
                <w:sz w:val="20"/>
                <w:szCs w:val="20"/>
                <w:lang w:val="en-US"/>
              </w:rPr>
              <w:t xml:space="preserve"> provided</w:t>
            </w:r>
            <w:r w:rsidR="005265DB" w:rsidRPr="006B7572">
              <w:rPr>
                <w:rFonts w:ascii="Arial" w:eastAsia="Calibri" w:hAnsi="Arial" w:cs="Arial"/>
                <w:bCs/>
                <w:iCs/>
                <w:sz w:val="20"/>
                <w:szCs w:val="20"/>
                <w:lang w:val="en-US"/>
              </w:rPr>
              <w:t xml:space="preserve"> in</w:t>
            </w:r>
            <w:r w:rsidR="00D51B37" w:rsidRPr="006B7572">
              <w:rPr>
                <w:rFonts w:ascii="Arial" w:eastAsia="Calibri" w:hAnsi="Arial" w:cs="Arial"/>
                <w:bCs/>
                <w:iCs/>
                <w:sz w:val="20"/>
                <w:szCs w:val="20"/>
                <w:lang w:val="en-US"/>
              </w:rPr>
              <w:t xml:space="preserve"> the</w:t>
            </w:r>
            <w:r w:rsidRPr="006B7572">
              <w:rPr>
                <w:rFonts w:ascii="Arial" w:hAnsi="Arial" w:cs="Arial"/>
                <w:bCs/>
                <w:i/>
                <w:iCs/>
                <w:sz w:val="20"/>
                <w:szCs w:val="20"/>
              </w:rPr>
              <w:t>Instructions</w:t>
            </w:r>
            <w:r w:rsidR="00485F5B">
              <w:rPr>
                <w:rFonts w:ascii="Arial" w:hAnsi="Arial" w:cs="Arial"/>
                <w:bCs/>
                <w:i/>
                <w:iCs/>
                <w:sz w:val="20"/>
                <w:szCs w:val="20"/>
              </w:rPr>
              <w:t>.</w:t>
            </w:r>
          </w:p>
          <w:p w:rsidR="00366E9D" w:rsidRPr="006B7572" w:rsidRDefault="00027F87" w:rsidP="00027F87">
            <w:pPr>
              <w:keepNext/>
              <w:keepLines/>
              <w:spacing w:before="120" w:after="120" w:line="240" w:lineRule="auto"/>
              <w:jc w:val="both"/>
              <w:rPr>
                <w:rFonts w:ascii="Arial" w:eastAsia="Calibri" w:hAnsi="Arial" w:cs="Arial"/>
                <w:bCs/>
                <w:iCs/>
                <w:sz w:val="20"/>
                <w:szCs w:val="20"/>
                <w:lang w:val="en-US"/>
              </w:rPr>
            </w:pPr>
            <w:r w:rsidRPr="006B7572">
              <w:rPr>
                <w:rFonts w:ascii="Arial" w:eastAsia="Calibri" w:hAnsi="Arial" w:cs="Arial"/>
                <w:sz w:val="20"/>
                <w:szCs w:val="20"/>
                <w:lang w:val="en-US"/>
              </w:rPr>
              <w:t>E</w:t>
            </w:r>
            <w:r w:rsidR="00366E9D" w:rsidRPr="006B7572">
              <w:rPr>
                <w:rFonts w:ascii="Arial" w:eastAsia="Calibri" w:hAnsi="Arial" w:cs="Arial"/>
                <w:sz w:val="20"/>
                <w:szCs w:val="20"/>
                <w:lang w:val="en-US"/>
              </w:rPr>
              <w:t xml:space="preserve">nsure that the funding request as described in </w:t>
            </w:r>
            <w:r w:rsidR="00CC0842" w:rsidRPr="006B7572">
              <w:rPr>
                <w:rFonts w:ascii="Arial" w:eastAsia="Calibri" w:hAnsi="Arial" w:cs="Arial"/>
                <w:sz w:val="20"/>
                <w:szCs w:val="20"/>
                <w:lang w:val="en-US"/>
              </w:rPr>
              <w:t>questions</w:t>
            </w:r>
            <w:r w:rsidR="00366E9D" w:rsidRPr="006B7572">
              <w:rPr>
                <w:rFonts w:ascii="Arial" w:eastAsia="Calibri" w:hAnsi="Arial" w:cs="Arial"/>
                <w:sz w:val="20"/>
                <w:szCs w:val="20"/>
                <w:lang w:val="en-US"/>
              </w:rPr>
              <w:t xml:space="preserve"> 2.1 and/or 2.2 meet</w:t>
            </w:r>
            <w:r w:rsidR="008945F5" w:rsidRPr="006B7572">
              <w:rPr>
                <w:rFonts w:ascii="Arial" w:eastAsia="Calibri" w:hAnsi="Arial" w:cs="Arial"/>
                <w:sz w:val="20"/>
                <w:szCs w:val="20"/>
                <w:lang w:val="en-US"/>
              </w:rPr>
              <w:t>s</w:t>
            </w:r>
            <w:r w:rsidR="00366E9D" w:rsidRPr="006B7572">
              <w:rPr>
                <w:rFonts w:ascii="Arial" w:eastAsia="Calibri" w:hAnsi="Arial" w:cs="Arial"/>
                <w:sz w:val="20"/>
                <w:szCs w:val="20"/>
                <w:lang w:val="en-US"/>
              </w:rPr>
              <w:t xml:space="preserve"> the </w:t>
            </w:r>
            <w:r w:rsidR="00CC0842" w:rsidRPr="006B7572">
              <w:rPr>
                <w:rFonts w:ascii="Arial" w:eastAsia="Calibri" w:hAnsi="Arial" w:cs="Arial"/>
                <w:sz w:val="20"/>
                <w:szCs w:val="20"/>
                <w:lang w:val="en-US"/>
              </w:rPr>
              <w:t xml:space="preserve">focus of </w:t>
            </w:r>
            <w:r w:rsidR="00366E9D" w:rsidRPr="006B7572">
              <w:rPr>
                <w:rFonts w:ascii="Arial" w:eastAsia="Calibri" w:hAnsi="Arial" w:cs="Arial"/>
                <w:sz w:val="20"/>
                <w:szCs w:val="20"/>
                <w:lang w:val="en-US"/>
              </w:rPr>
              <w:t>application requirement as outlined in section 2.3</w:t>
            </w:r>
            <w:r w:rsidR="00581C6F" w:rsidRPr="006B7572">
              <w:rPr>
                <w:rFonts w:ascii="Arial" w:eastAsia="Calibri" w:hAnsi="Arial" w:cs="Arial"/>
                <w:sz w:val="20"/>
                <w:szCs w:val="20"/>
                <w:lang w:val="en-US"/>
              </w:rPr>
              <w:t>.</w:t>
            </w:r>
          </w:p>
        </w:tc>
      </w:tr>
    </w:tbl>
    <w:p w:rsidR="00FE411C" w:rsidRPr="006B7572" w:rsidRDefault="00FE411C" w:rsidP="00042DCA">
      <w:pPr>
        <w:spacing w:after="0"/>
        <w:rPr>
          <w:rFonts w:ascii="Arial" w:hAnsi="Arial" w:cs="Arial"/>
          <w:sz w:val="20"/>
          <w:szCs w:val="20"/>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9016"/>
      </w:tblGrid>
      <w:tr w:rsidR="00042DCA" w:rsidRPr="006B7572" w:rsidTr="00FE411C">
        <w:trPr>
          <w:trHeight w:val="567"/>
          <w:jc w:val="center"/>
        </w:trPr>
        <w:tc>
          <w:tcPr>
            <w:tcW w:w="9016" w:type="dxa"/>
            <w:shd w:val="clear" w:color="auto" w:fill="C6D9F1"/>
          </w:tcPr>
          <w:p w:rsidR="00042DCA" w:rsidRPr="006B7572" w:rsidRDefault="00042DCA" w:rsidP="00042DCA">
            <w:pPr>
              <w:spacing w:after="0" w:line="276" w:lineRule="auto"/>
              <w:rPr>
                <w:rFonts w:ascii="Arial" w:eastAsia="Calibri" w:hAnsi="Arial" w:cs="Arial"/>
                <w:b/>
                <w:bCs/>
                <w:sz w:val="20"/>
                <w:szCs w:val="20"/>
                <w:lang w:val="en-US"/>
              </w:rPr>
            </w:pPr>
            <w:r w:rsidRPr="006B7572">
              <w:rPr>
                <w:rFonts w:ascii="Arial" w:eastAsia="Calibri" w:hAnsi="Arial" w:cs="Arial"/>
                <w:b/>
                <w:bCs/>
                <w:sz w:val="20"/>
                <w:szCs w:val="20"/>
                <w:lang w:val="en-US"/>
              </w:rPr>
              <w:t>2.1 Disease-specific funding request</w:t>
            </w:r>
          </w:p>
          <w:p w:rsidR="00311BE2" w:rsidRPr="006B7572" w:rsidRDefault="00EF32A7" w:rsidP="00DF1CDD">
            <w:pPr>
              <w:spacing w:after="0" w:line="276" w:lineRule="auto"/>
              <w:rPr>
                <w:rFonts w:ascii="Arial" w:eastAsia="Calibri" w:hAnsi="Arial" w:cs="Arial"/>
                <w:i/>
                <w:sz w:val="20"/>
                <w:szCs w:val="20"/>
                <w:lang w:val="en-US"/>
              </w:rPr>
            </w:pPr>
            <w:r w:rsidRPr="006B7572">
              <w:rPr>
                <w:rFonts w:ascii="Arial" w:eastAsia="Calibri" w:hAnsi="Arial" w:cs="Arial"/>
                <w:i/>
                <w:sz w:val="20"/>
                <w:szCs w:val="20"/>
                <w:u w:val="single"/>
                <w:lang w:val="en-US"/>
              </w:rPr>
              <w:t>N</w:t>
            </w:r>
            <w:r w:rsidR="00311BE2" w:rsidRPr="006B7572">
              <w:rPr>
                <w:rFonts w:ascii="Arial" w:eastAsia="Calibri" w:hAnsi="Arial" w:cs="Arial"/>
                <w:i/>
                <w:sz w:val="20"/>
                <w:szCs w:val="20"/>
                <w:u w:val="single"/>
                <w:lang w:val="en-US"/>
              </w:rPr>
              <w:t>ot</w:t>
            </w:r>
            <w:r w:rsidR="00311BE2" w:rsidRPr="006B7572">
              <w:rPr>
                <w:rFonts w:ascii="Arial" w:eastAsia="Calibri" w:hAnsi="Arial" w:cs="Arial"/>
                <w:i/>
                <w:sz w:val="20"/>
                <w:szCs w:val="20"/>
                <w:lang w:val="en-US"/>
              </w:rPr>
              <w:t xml:space="preserve"> applicable if the application </w:t>
            </w:r>
            <w:r w:rsidR="009759E9" w:rsidRPr="006B7572">
              <w:rPr>
                <w:rFonts w:ascii="Arial" w:eastAsia="Calibri" w:hAnsi="Arial" w:cs="Arial"/>
                <w:i/>
                <w:sz w:val="20"/>
                <w:szCs w:val="20"/>
                <w:lang w:val="en-US"/>
              </w:rPr>
              <w:t>is a</w:t>
            </w:r>
            <w:r w:rsidRPr="006B7572">
              <w:rPr>
                <w:rFonts w:ascii="Arial" w:eastAsia="Calibri" w:hAnsi="Arial" w:cs="Arial"/>
                <w:i/>
                <w:sz w:val="20"/>
                <w:szCs w:val="20"/>
                <w:lang w:val="en-US"/>
              </w:rPr>
              <w:t xml:space="preserve"> standalone</w:t>
            </w:r>
            <w:r w:rsidR="00311BE2" w:rsidRPr="006B7572">
              <w:rPr>
                <w:rFonts w:ascii="Arial" w:eastAsia="Calibri" w:hAnsi="Arial" w:cs="Arial"/>
                <w:i/>
                <w:sz w:val="20"/>
                <w:szCs w:val="20"/>
                <w:lang w:val="en-US"/>
              </w:rPr>
              <w:t>RSSH request.</w:t>
            </w:r>
          </w:p>
        </w:tc>
      </w:tr>
      <w:tr w:rsidR="00042DCA" w:rsidRPr="006B7572" w:rsidTr="00FE411C">
        <w:trPr>
          <w:trHeight w:val="5802"/>
          <w:jc w:val="center"/>
        </w:trPr>
        <w:tc>
          <w:tcPr>
            <w:tcW w:w="9016" w:type="dxa"/>
            <w:shd w:val="clear" w:color="auto" w:fill="F2F2F2" w:themeFill="background1" w:themeFillShade="F2"/>
            <w:vAlign w:val="center"/>
          </w:tcPr>
          <w:p w:rsidR="00736AC4" w:rsidRPr="006B7572" w:rsidRDefault="007D3237" w:rsidP="00CC0842">
            <w:pPr>
              <w:spacing w:before="120" w:line="240" w:lineRule="auto"/>
              <w:contextualSpacing/>
              <w:jc w:val="both"/>
              <w:rPr>
                <w:rFonts w:ascii="Arial" w:eastAsia="Calibri" w:hAnsi="Arial" w:cs="Arial"/>
                <w:sz w:val="20"/>
                <w:szCs w:val="20"/>
              </w:rPr>
            </w:pPr>
            <w:r>
              <w:rPr>
                <w:rFonts w:ascii="Arial" w:eastAsia="Calibri" w:hAnsi="Arial" w:cs="Arial"/>
                <w:sz w:val="20"/>
                <w:szCs w:val="20"/>
              </w:rPr>
              <w:t>Gi</w:t>
            </w:r>
            <w:r w:rsidR="00736AC4" w:rsidRPr="006B7572">
              <w:rPr>
                <w:rFonts w:ascii="Arial" w:eastAsia="Calibri" w:hAnsi="Arial" w:cs="Arial"/>
                <w:sz w:val="20"/>
                <w:szCs w:val="20"/>
              </w:rPr>
              <w:t>ven the context and lessons learned outlined in Section 1</w:t>
            </w:r>
            <w:r w:rsidR="00FA3434" w:rsidRPr="006B7572">
              <w:rPr>
                <w:rFonts w:ascii="Arial" w:eastAsia="Calibri" w:hAnsi="Arial" w:cs="Arial"/>
                <w:sz w:val="20"/>
                <w:szCs w:val="20"/>
              </w:rPr>
              <w:t>,</w:t>
            </w:r>
          </w:p>
          <w:p w:rsidR="00CC0842" w:rsidRPr="006B7572" w:rsidRDefault="00CC0842" w:rsidP="00CC0842">
            <w:pPr>
              <w:spacing w:before="120" w:line="240" w:lineRule="auto"/>
              <w:contextualSpacing/>
              <w:jc w:val="both"/>
              <w:rPr>
                <w:rFonts w:ascii="Arial" w:eastAsia="Calibri" w:hAnsi="Arial" w:cs="Arial"/>
                <w:sz w:val="20"/>
                <w:szCs w:val="20"/>
              </w:rPr>
            </w:pPr>
          </w:p>
          <w:p w:rsidR="00A600FA" w:rsidRPr="006B7572" w:rsidRDefault="00A600FA" w:rsidP="007205D8">
            <w:pPr>
              <w:numPr>
                <w:ilvl w:val="0"/>
                <w:numId w:val="1"/>
              </w:numPr>
              <w:spacing w:before="120" w:after="0" w:line="240" w:lineRule="auto"/>
              <w:contextualSpacing/>
              <w:jc w:val="both"/>
              <w:rPr>
                <w:rFonts w:ascii="Arial" w:eastAsia="Calibri" w:hAnsi="Arial" w:cs="Arial"/>
                <w:sz w:val="20"/>
                <w:szCs w:val="20"/>
              </w:rPr>
            </w:pPr>
            <w:r w:rsidRPr="006B7572">
              <w:rPr>
                <w:rFonts w:ascii="Arial" w:eastAsia="Calibri" w:hAnsi="Arial" w:cs="Arial"/>
                <w:sz w:val="20"/>
                <w:szCs w:val="20"/>
              </w:rPr>
              <w:t>Describe the disease-specific funding request(s), the rationale for prioritizing modules and interventions</w:t>
            </w:r>
            <w:r w:rsidR="00736AC4" w:rsidRPr="006B7572">
              <w:rPr>
                <w:rFonts w:ascii="Arial" w:eastAsia="Calibri" w:hAnsi="Arial" w:cs="Arial"/>
                <w:sz w:val="20"/>
                <w:szCs w:val="20"/>
              </w:rPr>
              <w:t>,</w:t>
            </w:r>
            <w:r w:rsidRPr="006B7572">
              <w:rPr>
                <w:rFonts w:ascii="Arial" w:eastAsia="Calibri" w:hAnsi="Arial" w:cs="Arial"/>
                <w:sz w:val="20"/>
                <w:szCs w:val="20"/>
              </w:rPr>
              <w:t xml:space="preserve"> and how the</w:t>
            </w:r>
            <w:r w:rsidR="0011786E" w:rsidRPr="006B7572">
              <w:rPr>
                <w:rFonts w:ascii="Arial" w:eastAsia="Calibri" w:hAnsi="Arial" w:cs="Arial"/>
                <w:sz w:val="20"/>
                <w:szCs w:val="20"/>
              </w:rPr>
              <w:t>se</w:t>
            </w:r>
            <w:r w:rsidRPr="006B7572">
              <w:rPr>
                <w:rFonts w:ascii="Arial" w:eastAsia="Calibri" w:hAnsi="Arial" w:cs="Arial"/>
                <w:sz w:val="20"/>
                <w:szCs w:val="20"/>
              </w:rPr>
              <w:t xml:space="preserve"> choices ensure the highest possible impact with a view to end</w:t>
            </w:r>
            <w:r w:rsidR="00736AC4" w:rsidRPr="006B7572">
              <w:rPr>
                <w:rFonts w:ascii="Arial" w:eastAsia="Calibri" w:hAnsi="Arial" w:cs="Arial"/>
                <w:sz w:val="20"/>
                <w:szCs w:val="20"/>
              </w:rPr>
              <w:t>ing</w:t>
            </w:r>
            <w:r w:rsidR="00FA3434" w:rsidRPr="006B7572">
              <w:rPr>
                <w:rFonts w:ascii="Arial" w:eastAsia="Calibri" w:hAnsi="Arial" w:cs="Arial"/>
                <w:sz w:val="20"/>
                <w:szCs w:val="20"/>
              </w:rPr>
              <w:t xml:space="preserve"> the three diseases </w:t>
            </w:r>
            <w:r w:rsidRPr="006B7572">
              <w:rPr>
                <w:rFonts w:ascii="Arial" w:eastAsia="Calibri" w:hAnsi="Arial" w:cs="Arial"/>
                <w:sz w:val="20"/>
                <w:szCs w:val="20"/>
              </w:rPr>
              <w:t>and remov</w:t>
            </w:r>
            <w:r w:rsidR="00736AC4" w:rsidRPr="006B7572">
              <w:rPr>
                <w:rFonts w:ascii="Arial" w:eastAsia="Calibri" w:hAnsi="Arial" w:cs="Arial"/>
                <w:sz w:val="20"/>
                <w:szCs w:val="20"/>
              </w:rPr>
              <w:t>ing</w:t>
            </w:r>
            <w:r w:rsidRPr="006B7572">
              <w:rPr>
                <w:rFonts w:ascii="Arial" w:eastAsia="Calibri" w:hAnsi="Arial" w:cs="Arial"/>
                <w:sz w:val="20"/>
                <w:szCs w:val="20"/>
              </w:rPr>
              <w:t xml:space="preserve"> human rights and gender-related barriers</w:t>
            </w:r>
            <w:r w:rsidR="00FA3434" w:rsidRPr="006B7572">
              <w:rPr>
                <w:rFonts w:ascii="Arial" w:eastAsia="Calibri" w:hAnsi="Arial" w:cs="Arial"/>
                <w:sz w:val="20"/>
                <w:szCs w:val="20"/>
              </w:rPr>
              <w:t xml:space="preserve"> to accessing services</w:t>
            </w:r>
            <w:r w:rsidRPr="006B7572">
              <w:rPr>
                <w:rFonts w:ascii="Arial" w:eastAsia="Calibri" w:hAnsi="Arial" w:cs="Arial"/>
                <w:sz w:val="20"/>
                <w:szCs w:val="20"/>
              </w:rPr>
              <w:t>.</w:t>
            </w:r>
          </w:p>
          <w:p w:rsidR="00A600FA" w:rsidRPr="006B7572" w:rsidRDefault="0041310D" w:rsidP="0041310D">
            <w:pPr>
              <w:spacing w:before="120"/>
              <w:ind w:left="738"/>
              <w:jc w:val="both"/>
              <w:rPr>
                <w:rFonts w:ascii="Arial" w:eastAsia="Calibri" w:hAnsi="Arial" w:cs="Arial"/>
                <w:sz w:val="20"/>
                <w:szCs w:val="20"/>
              </w:rPr>
            </w:pPr>
            <w:r w:rsidRPr="006B7572">
              <w:rPr>
                <w:rFonts w:ascii="Arial" w:eastAsia="Calibri" w:hAnsi="Arial" w:cs="Arial"/>
                <w:sz w:val="20"/>
                <w:szCs w:val="20"/>
              </w:rPr>
              <w:t>For any priority modules for which gaps are difficult to quantify in the programmatic gap tables, explain here the barriers being addressed, the proposed interventions and the population or groups involved.</w:t>
            </w:r>
          </w:p>
          <w:p w:rsidR="00A600FA" w:rsidRPr="006B7572" w:rsidRDefault="00A600FA" w:rsidP="007205D8">
            <w:pPr>
              <w:numPr>
                <w:ilvl w:val="0"/>
                <w:numId w:val="1"/>
              </w:numPr>
              <w:spacing w:before="120" w:after="0" w:line="240" w:lineRule="auto"/>
              <w:contextualSpacing/>
              <w:jc w:val="both"/>
              <w:rPr>
                <w:rFonts w:ascii="Arial" w:eastAsia="Calibri" w:hAnsi="Arial" w:cs="Arial"/>
                <w:sz w:val="20"/>
                <w:szCs w:val="20"/>
              </w:rPr>
            </w:pPr>
            <w:r w:rsidRPr="006B7572">
              <w:rPr>
                <w:rFonts w:ascii="Arial" w:eastAsia="Calibri" w:hAnsi="Arial" w:cs="Arial"/>
                <w:sz w:val="20"/>
                <w:szCs w:val="20"/>
              </w:rPr>
              <w:t xml:space="preserve">Explain how the funding request addresses the key funding gaps reflected in the </w:t>
            </w:r>
            <w:r w:rsidR="0011786E" w:rsidRPr="006B7572">
              <w:rPr>
                <w:rFonts w:ascii="Arial" w:eastAsia="Calibri" w:hAnsi="Arial" w:cs="Arial"/>
                <w:sz w:val="20"/>
                <w:szCs w:val="20"/>
              </w:rPr>
              <w:t>F</w:t>
            </w:r>
            <w:r w:rsidRPr="006B7572">
              <w:rPr>
                <w:rFonts w:ascii="Arial" w:eastAsia="Calibri" w:hAnsi="Arial" w:cs="Arial"/>
                <w:sz w:val="20"/>
                <w:szCs w:val="20"/>
              </w:rPr>
              <w:t xml:space="preserve">unding </w:t>
            </w:r>
            <w:r w:rsidR="0011786E" w:rsidRPr="006B7572">
              <w:rPr>
                <w:rFonts w:ascii="Arial" w:eastAsia="Calibri" w:hAnsi="Arial" w:cs="Arial"/>
                <w:sz w:val="20"/>
                <w:szCs w:val="20"/>
              </w:rPr>
              <w:t>L</w:t>
            </w:r>
            <w:r w:rsidRPr="006B7572">
              <w:rPr>
                <w:rFonts w:ascii="Arial" w:eastAsia="Calibri" w:hAnsi="Arial" w:cs="Arial"/>
                <w:sz w:val="20"/>
                <w:szCs w:val="20"/>
              </w:rPr>
              <w:t xml:space="preserve">andscape </w:t>
            </w:r>
            <w:r w:rsidR="0011786E" w:rsidRPr="006B7572">
              <w:rPr>
                <w:rFonts w:ascii="Arial" w:eastAsia="Calibri" w:hAnsi="Arial" w:cs="Arial"/>
                <w:sz w:val="20"/>
                <w:szCs w:val="20"/>
              </w:rPr>
              <w:t>T</w:t>
            </w:r>
            <w:r w:rsidR="001932A7" w:rsidRPr="006B7572">
              <w:rPr>
                <w:rFonts w:ascii="Arial" w:eastAsia="Calibri" w:hAnsi="Arial" w:cs="Arial"/>
                <w:sz w:val="20"/>
                <w:szCs w:val="20"/>
              </w:rPr>
              <w:t xml:space="preserve">able(s) </w:t>
            </w:r>
            <w:r w:rsidRPr="006B7572">
              <w:rPr>
                <w:rFonts w:ascii="Arial" w:eastAsia="Calibri" w:hAnsi="Arial" w:cs="Arial"/>
                <w:sz w:val="20"/>
                <w:szCs w:val="20"/>
              </w:rPr>
              <w:t xml:space="preserve">for the disease program(s) in the current allocation cycle, and specify other actions planned to cover remaining gaps. </w:t>
            </w:r>
          </w:p>
          <w:p w:rsidR="00A600FA" w:rsidRPr="00096485" w:rsidRDefault="00A600FA" w:rsidP="00005564">
            <w:pPr>
              <w:spacing w:before="120"/>
              <w:jc w:val="both"/>
              <w:rPr>
                <w:rFonts w:ascii="Arial" w:eastAsia="Calibri" w:hAnsi="Arial" w:cs="Arial"/>
                <w:color w:val="BFBFBF" w:themeColor="background1" w:themeShade="BF"/>
                <w:sz w:val="20"/>
                <w:szCs w:val="20"/>
              </w:rPr>
            </w:pPr>
            <w:r w:rsidRPr="00096485">
              <w:rPr>
                <w:rFonts w:ascii="Arial" w:eastAsia="Calibri" w:hAnsi="Arial" w:cs="Arial"/>
                <w:color w:val="BFBFBF" w:themeColor="background1" w:themeShade="BF"/>
                <w:sz w:val="20"/>
                <w:szCs w:val="20"/>
              </w:rPr>
              <w:t>For funding requests</w:t>
            </w:r>
            <w:r w:rsidR="001A08D0" w:rsidRPr="00096485">
              <w:rPr>
                <w:rFonts w:ascii="Arial" w:eastAsia="Calibri" w:hAnsi="Arial" w:cs="Arial"/>
                <w:color w:val="BFBFBF" w:themeColor="background1" w:themeShade="BF"/>
                <w:sz w:val="20"/>
                <w:szCs w:val="20"/>
              </w:rPr>
              <w:t xml:space="preserve"> including both HIV and TB components</w:t>
            </w:r>
            <w:r w:rsidRPr="00096485">
              <w:rPr>
                <w:rFonts w:ascii="Arial" w:eastAsia="Calibri" w:hAnsi="Arial" w:cs="Arial"/>
                <w:color w:val="BFBFBF" w:themeColor="background1" w:themeShade="BF"/>
                <w:sz w:val="20"/>
                <w:szCs w:val="20"/>
              </w:rPr>
              <w:t xml:space="preserve">: </w:t>
            </w:r>
          </w:p>
          <w:p w:rsidR="00A600FA" w:rsidRPr="00096485" w:rsidRDefault="00A600FA" w:rsidP="007205D8">
            <w:pPr>
              <w:numPr>
                <w:ilvl w:val="0"/>
                <w:numId w:val="1"/>
              </w:numPr>
              <w:spacing w:before="120" w:after="0" w:line="240" w:lineRule="auto"/>
              <w:contextualSpacing/>
              <w:jc w:val="both"/>
              <w:rPr>
                <w:rFonts w:ascii="Arial" w:eastAsia="Calibri" w:hAnsi="Arial" w:cs="Arial"/>
                <w:color w:val="BFBFBF" w:themeColor="background1" w:themeShade="BF"/>
                <w:sz w:val="20"/>
                <w:szCs w:val="20"/>
              </w:rPr>
            </w:pPr>
            <w:r w:rsidRPr="00096485">
              <w:rPr>
                <w:rFonts w:ascii="Arial" w:eastAsia="Calibri" w:hAnsi="Arial" w:cs="Arial"/>
                <w:color w:val="BFBFBF" w:themeColor="background1" w:themeShade="BF"/>
                <w:sz w:val="20"/>
                <w:szCs w:val="20"/>
              </w:rPr>
              <w:t>Describe</w:t>
            </w:r>
            <w:r w:rsidR="0011786E" w:rsidRPr="00096485">
              <w:rPr>
                <w:rFonts w:ascii="Arial" w:eastAsia="Calibri" w:hAnsi="Arial" w:cs="Arial"/>
                <w:color w:val="BFBFBF" w:themeColor="background1" w:themeShade="BF"/>
                <w:sz w:val="20"/>
                <w:szCs w:val="20"/>
              </w:rPr>
              <w:t xml:space="preserve"> the</w:t>
            </w:r>
            <w:r w:rsidRPr="00096485">
              <w:rPr>
                <w:rFonts w:ascii="Arial" w:eastAsia="Calibri" w:hAnsi="Arial" w:cs="Arial"/>
                <w:color w:val="BFBFBF" w:themeColor="background1" w:themeShade="BF"/>
                <w:sz w:val="20"/>
                <w:szCs w:val="20"/>
              </w:rPr>
              <w:t xml:space="preserve"> coordination of joint TB and HIV strategies, policies and interventions at different levels of the health system, including community systems, </w:t>
            </w:r>
            <w:r w:rsidR="0011786E" w:rsidRPr="00096485">
              <w:rPr>
                <w:rFonts w:ascii="Arial" w:eastAsia="Calibri" w:hAnsi="Arial" w:cs="Arial"/>
                <w:color w:val="BFBFBF" w:themeColor="background1" w:themeShade="BF"/>
                <w:sz w:val="20"/>
                <w:szCs w:val="20"/>
              </w:rPr>
              <w:t xml:space="preserve">and </w:t>
            </w:r>
            <w:r w:rsidRPr="00096485">
              <w:rPr>
                <w:rFonts w:ascii="Arial" w:eastAsia="Calibri" w:hAnsi="Arial" w:cs="Arial"/>
                <w:color w:val="BFBFBF" w:themeColor="background1" w:themeShade="BF"/>
                <w:sz w:val="20"/>
                <w:szCs w:val="20"/>
              </w:rPr>
              <w:t>expected impact and efficiencies from the joint programming.</w:t>
            </w:r>
          </w:p>
          <w:p w:rsidR="00A600FA" w:rsidRPr="006B7572" w:rsidRDefault="00027F87" w:rsidP="00005564">
            <w:pPr>
              <w:spacing w:before="120"/>
              <w:jc w:val="both"/>
              <w:rPr>
                <w:rFonts w:ascii="Arial" w:eastAsia="Calibri" w:hAnsi="Arial" w:cs="Arial"/>
                <w:sz w:val="20"/>
                <w:szCs w:val="20"/>
              </w:rPr>
            </w:pPr>
            <w:r w:rsidRPr="006B7572">
              <w:rPr>
                <w:rFonts w:ascii="Arial" w:eastAsia="Calibri" w:hAnsi="Arial" w:cs="Arial"/>
                <w:sz w:val="20"/>
                <w:szCs w:val="20"/>
              </w:rPr>
              <w:t>E</w:t>
            </w:r>
            <w:r w:rsidR="00A600FA" w:rsidRPr="006B7572">
              <w:rPr>
                <w:rFonts w:ascii="Arial" w:eastAsia="Calibri" w:hAnsi="Arial" w:cs="Arial"/>
                <w:sz w:val="20"/>
                <w:szCs w:val="20"/>
              </w:rPr>
              <w:t>nsure the answer appropriately reflects the separate disease programs in addition to cross cutting modules where appropriate.</w:t>
            </w:r>
          </w:p>
          <w:p w:rsidR="00042DCA" w:rsidRPr="006B7572" w:rsidRDefault="001631BD" w:rsidP="00005564">
            <w:pPr>
              <w:spacing w:before="120" w:line="240" w:lineRule="auto"/>
              <w:jc w:val="both"/>
              <w:rPr>
                <w:rFonts w:ascii="Arial" w:eastAsia="Calibri" w:hAnsi="Arial" w:cs="Arial"/>
                <w:b/>
                <w:sz w:val="20"/>
                <w:szCs w:val="20"/>
                <w:lang w:val="en-US"/>
              </w:rPr>
            </w:pPr>
            <w:r w:rsidRPr="006B7572">
              <w:rPr>
                <w:rFonts w:ascii="Arial" w:eastAsia="SimSun" w:hAnsi="Arial" w:cs="Arial"/>
                <w:b/>
                <w:sz w:val="20"/>
                <w:szCs w:val="20"/>
                <w:lang w:eastAsia="zh-CN"/>
              </w:rPr>
              <w:t>(maximum</w:t>
            </w:r>
            <w:r w:rsidR="00C43F4F" w:rsidRPr="006B7572">
              <w:rPr>
                <w:rFonts w:ascii="Arial" w:eastAsia="SimSun" w:hAnsi="Arial" w:cs="Arial"/>
                <w:b/>
                <w:sz w:val="20"/>
                <w:szCs w:val="20"/>
                <w:lang w:eastAsia="zh-CN"/>
              </w:rPr>
              <w:t xml:space="preserve"> 4</w:t>
            </w:r>
            <w:r w:rsidR="005A62F6" w:rsidRPr="006B7572">
              <w:rPr>
                <w:rFonts w:ascii="Arial" w:eastAsia="SimSun" w:hAnsi="Arial" w:cs="Arial"/>
                <w:b/>
                <w:sz w:val="20"/>
                <w:szCs w:val="20"/>
                <w:lang w:eastAsia="zh-CN"/>
              </w:rPr>
              <w:t>pages per component</w:t>
            </w:r>
            <w:r w:rsidR="00042DCA" w:rsidRPr="006B7572">
              <w:rPr>
                <w:rFonts w:ascii="Arial" w:eastAsia="SimSun" w:hAnsi="Arial" w:cs="Arial"/>
                <w:b/>
                <w:sz w:val="20"/>
                <w:szCs w:val="20"/>
                <w:lang w:eastAsia="zh-CN"/>
              </w:rPr>
              <w:t>)</w:t>
            </w:r>
          </w:p>
        </w:tc>
      </w:tr>
    </w:tbl>
    <w:p w:rsidR="00042DCA" w:rsidRPr="00182F8D" w:rsidRDefault="002D19E8" w:rsidP="00042DCA">
      <w:pPr>
        <w:spacing w:before="240"/>
        <w:rPr>
          <w:rFonts w:ascii="Arial" w:hAnsi="Arial" w:cs="Arial"/>
          <w:sz w:val="20"/>
          <w:szCs w:val="20"/>
        </w:rPr>
      </w:pPr>
      <w:r w:rsidRPr="00182F8D">
        <w:rPr>
          <w:rFonts w:ascii="Arial" w:hAnsi="Arial" w:cs="Arial"/>
          <w:sz w:val="20"/>
          <w:szCs w:val="20"/>
        </w:rPr>
        <w:t>[</w:t>
      </w:r>
      <w:r w:rsidR="00042DCA" w:rsidRPr="004040A5">
        <w:rPr>
          <w:rFonts w:ascii="Arial" w:hAnsi="Arial" w:cs="Arial"/>
          <w:i/>
          <w:sz w:val="20"/>
          <w:szCs w:val="20"/>
        </w:rPr>
        <w:t>Applicant response</w:t>
      </w:r>
      <w:r w:rsidRPr="004040A5">
        <w:rPr>
          <w:rFonts w:ascii="Arial" w:hAnsi="Arial" w:cs="Arial"/>
          <w:sz w:val="20"/>
          <w:szCs w:val="20"/>
        </w:rPr>
        <w:t>]</w:t>
      </w:r>
      <w:r w:rsidR="00042DCA" w:rsidRPr="004040A5">
        <w:rPr>
          <w:rFonts w:ascii="Arial" w:hAnsi="Arial" w:cs="Arial"/>
          <w:sz w:val="20"/>
          <w:szCs w:val="20"/>
        </w:rPr>
        <w:t>:</w:t>
      </w:r>
    </w:p>
    <w:p w:rsidR="006B1AFA" w:rsidRPr="004040A5" w:rsidRDefault="002032B9" w:rsidP="006B1AFA">
      <w:pPr>
        <w:keepNext/>
        <w:keepLines/>
        <w:spacing w:before="120" w:after="110" w:line="240" w:lineRule="auto"/>
        <w:rPr>
          <w:rFonts w:ascii="Arial" w:hAnsi="Arial" w:cs="Arial"/>
          <w:bCs/>
          <w:sz w:val="20"/>
          <w:szCs w:val="20"/>
        </w:rPr>
      </w:pPr>
      <w:r w:rsidRPr="004040A5">
        <w:rPr>
          <w:rFonts w:ascii="Arial" w:hAnsi="Arial" w:cs="Arial"/>
          <w:bCs/>
          <w:sz w:val="20"/>
          <w:szCs w:val="20"/>
        </w:rPr>
        <w:t xml:space="preserve">a) </w:t>
      </w:r>
      <w:r w:rsidRPr="004040A5">
        <w:rPr>
          <w:rFonts w:ascii="Arial" w:hAnsi="Arial" w:cs="Arial"/>
          <w:bCs/>
          <w:i/>
          <w:sz w:val="20"/>
          <w:szCs w:val="20"/>
        </w:rPr>
        <w:t>Funding request</w:t>
      </w:r>
      <w:r w:rsidRPr="004040A5">
        <w:rPr>
          <w:rFonts w:ascii="Arial" w:hAnsi="Arial" w:cs="Arial"/>
          <w:bCs/>
          <w:sz w:val="20"/>
          <w:szCs w:val="20"/>
        </w:rPr>
        <w:t xml:space="preserve">. </w:t>
      </w:r>
      <w:r w:rsidR="006B1AFA" w:rsidRPr="004040A5">
        <w:rPr>
          <w:rFonts w:ascii="Arial" w:hAnsi="Arial" w:cs="Arial"/>
          <w:bCs/>
          <w:sz w:val="20"/>
          <w:szCs w:val="20"/>
        </w:rPr>
        <w:t xml:space="preserve">This application for funding covers activities grouped under </w:t>
      </w:r>
      <w:r w:rsidR="00DE7BFA">
        <w:rPr>
          <w:rFonts w:ascii="Arial" w:hAnsi="Arial" w:cs="Arial"/>
          <w:bCs/>
          <w:sz w:val="20"/>
          <w:szCs w:val="20"/>
        </w:rPr>
        <w:t>1</w:t>
      </w:r>
      <w:r w:rsidR="003D1B10">
        <w:rPr>
          <w:rFonts w:ascii="Arial" w:hAnsi="Arial" w:cs="Arial"/>
          <w:bCs/>
          <w:sz w:val="20"/>
          <w:szCs w:val="20"/>
        </w:rPr>
        <w:t>8</w:t>
      </w:r>
      <w:r w:rsidR="006B1AFA" w:rsidRPr="004040A5">
        <w:rPr>
          <w:rFonts w:ascii="Arial" w:hAnsi="Arial" w:cs="Arial"/>
          <w:bCs/>
          <w:i/>
          <w:sz w:val="20"/>
          <w:szCs w:val="20"/>
        </w:rPr>
        <w:t>interventions</w:t>
      </w:r>
      <w:r w:rsidR="006B1AFA" w:rsidRPr="004040A5">
        <w:rPr>
          <w:rFonts w:ascii="Arial" w:hAnsi="Arial" w:cs="Arial"/>
          <w:bCs/>
          <w:sz w:val="20"/>
          <w:szCs w:val="20"/>
        </w:rPr>
        <w:t xml:space="preserve"> spanning </w:t>
      </w:r>
      <w:r w:rsidR="003D1B10">
        <w:rPr>
          <w:rFonts w:ascii="Arial" w:hAnsi="Arial" w:cs="Arial"/>
          <w:bCs/>
          <w:sz w:val="20"/>
          <w:szCs w:val="20"/>
        </w:rPr>
        <w:t>4</w:t>
      </w:r>
      <w:r w:rsidR="006B1AFA" w:rsidRPr="004040A5">
        <w:rPr>
          <w:rFonts w:ascii="Arial" w:hAnsi="Arial" w:cs="Arial"/>
          <w:bCs/>
          <w:sz w:val="20"/>
          <w:szCs w:val="20"/>
        </w:rPr>
        <w:t xml:space="preserve">modules as presented </w:t>
      </w:r>
      <w:r w:rsidR="00182F8D">
        <w:rPr>
          <w:rFonts w:ascii="Arial" w:hAnsi="Arial" w:cs="Arial"/>
          <w:bCs/>
          <w:sz w:val="20"/>
          <w:szCs w:val="20"/>
        </w:rPr>
        <w:t>i</w:t>
      </w:r>
      <w:r w:rsidR="00182F8D" w:rsidRPr="004040A5">
        <w:rPr>
          <w:rFonts w:ascii="Arial" w:hAnsi="Arial" w:cs="Arial"/>
          <w:bCs/>
          <w:sz w:val="20"/>
          <w:szCs w:val="20"/>
        </w:rPr>
        <w:t xml:space="preserve">n </w:t>
      </w:r>
      <w:r w:rsidR="006B1AFA" w:rsidRPr="004040A5">
        <w:rPr>
          <w:rFonts w:ascii="Arial" w:hAnsi="Arial" w:cs="Arial"/>
          <w:bCs/>
          <w:sz w:val="20"/>
          <w:szCs w:val="20"/>
        </w:rPr>
        <w:t xml:space="preserve">table </w:t>
      </w:r>
      <w:r w:rsidR="00A90312" w:rsidRPr="004040A5">
        <w:rPr>
          <w:rFonts w:ascii="Arial" w:hAnsi="Arial" w:cs="Arial"/>
          <w:bCs/>
          <w:sz w:val="20"/>
          <w:szCs w:val="20"/>
        </w:rPr>
        <w:t>2.1</w:t>
      </w:r>
      <w:r w:rsidR="006B1AFA" w:rsidRPr="004040A5">
        <w:rPr>
          <w:rFonts w:ascii="Arial" w:hAnsi="Arial" w:cs="Arial"/>
          <w:bCs/>
          <w:sz w:val="20"/>
          <w:szCs w:val="20"/>
        </w:rPr>
        <w:t xml:space="preserve"> below. A total of $</w:t>
      </w:r>
      <w:r w:rsidR="00DE7BFA">
        <w:rPr>
          <w:rFonts w:ascii="Arial" w:hAnsi="Arial" w:cs="Arial"/>
          <w:bCs/>
          <w:sz w:val="20"/>
          <w:szCs w:val="20"/>
        </w:rPr>
        <w:t>30,467,549</w:t>
      </w:r>
      <w:r w:rsidR="006B1AFA" w:rsidRPr="004040A5">
        <w:rPr>
          <w:rFonts w:ascii="Arial" w:hAnsi="Arial" w:cs="Arial"/>
          <w:bCs/>
          <w:sz w:val="20"/>
          <w:szCs w:val="20"/>
        </w:rPr>
        <w:t xml:space="preserve">is requested from the </w:t>
      </w:r>
      <w:r w:rsidR="00DE7BFA">
        <w:rPr>
          <w:rFonts w:ascii="Arial" w:hAnsi="Arial" w:cs="Arial"/>
          <w:bCs/>
          <w:sz w:val="20"/>
          <w:szCs w:val="20"/>
        </w:rPr>
        <w:t xml:space="preserve">within </w:t>
      </w:r>
      <w:r w:rsidR="006B1AFA" w:rsidRPr="004040A5">
        <w:rPr>
          <w:rFonts w:ascii="Arial" w:hAnsi="Arial" w:cs="Arial"/>
          <w:bCs/>
          <w:sz w:val="20"/>
          <w:szCs w:val="20"/>
        </w:rPr>
        <w:t xml:space="preserve">allocation amount. </w:t>
      </w:r>
    </w:p>
    <w:p w:rsidR="00A90312" w:rsidRPr="004040A5" w:rsidRDefault="00A90312" w:rsidP="00A90312">
      <w:pPr>
        <w:tabs>
          <w:tab w:val="left" w:pos="8100"/>
        </w:tabs>
        <w:spacing w:before="120" w:after="120" w:line="240" w:lineRule="auto"/>
        <w:rPr>
          <w:rFonts w:ascii="Arial" w:hAnsi="Arial" w:cs="Arial"/>
          <w:b/>
          <w:sz w:val="20"/>
          <w:szCs w:val="20"/>
        </w:rPr>
      </w:pPr>
      <w:r w:rsidRPr="004040A5">
        <w:rPr>
          <w:rFonts w:ascii="Arial" w:hAnsi="Arial" w:cs="Arial"/>
          <w:b/>
          <w:bCs/>
          <w:sz w:val="20"/>
          <w:szCs w:val="20"/>
        </w:rPr>
        <w:t xml:space="preserve">Table 2.1. </w:t>
      </w:r>
      <w:r w:rsidRPr="004040A5">
        <w:rPr>
          <w:rFonts w:ascii="Arial" w:hAnsi="Arial" w:cs="Arial"/>
          <w:b/>
          <w:sz w:val="20"/>
          <w:szCs w:val="20"/>
        </w:rPr>
        <w:t>GF Request by Module and Intervention.</w:t>
      </w:r>
    </w:p>
    <w:p w:rsidR="00A90312" w:rsidRPr="004040A5" w:rsidRDefault="00A90312" w:rsidP="00A90312">
      <w:pPr>
        <w:tabs>
          <w:tab w:val="left" w:pos="8100"/>
        </w:tabs>
        <w:spacing w:before="120" w:after="120" w:line="240" w:lineRule="auto"/>
        <w:rPr>
          <w:rFonts w:ascii="Arial" w:hAnsi="Arial" w:cs="Arial"/>
          <w:sz w:val="20"/>
          <w:szCs w:val="20"/>
        </w:rPr>
      </w:pPr>
      <w:r w:rsidRPr="004040A5">
        <w:rPr>
          <w:rFonts w:ascii="Arial" w:hAnsi="Arial" w:cs="Arial"/>
          <w:sz w:val="20"/>
          <w:szCs w:val="20"/>
          <w:highlight w:val="yellow"/>
        </w:rPr>
        <w:t>XXX</w:t>
      </w:r>
    </w:p>
    <w:p w:rsidR="00E93FA7" w:rsidRPr="00182F8D" w:rsidRDefault="00A90312" w:rsidP="00A90312">
      <w:pPr>
        <w:tabs>
          <w:tab w:val="left" w:pos="8100"/>
        </w:tabs>
        <w:spacing w:before="120" w:after="120" w:line="240" w:lineRule="auto"/>
        <w:rPr>
          <w:rFonts w:ascii="Arial" w:hAnsi="Arial" w:cs="Arial"/>
          <w:bCs/>
          <w:sz w:val="20"/>
          <w:szCs w:val="20"/>
        </w:rPr>
      </w:pPr>
      <w:r w:rsidRPr="00182F8D">
        <w:rPr>
          <w:rFonts w:ascii="Arial" w:hAnsi="Arial" w:cs="Arial"/>
          <w:bCs/>
          <w:sz w:val="20"/>
          <w:szCs w:val="20"/>
        </w:rPr>
        <w:t>‘</w:t>
      </w:r>
      <w:r w:rsidRPr="004040A5">
        <w:rPr>
          <w:rFonts w:ascii="Arial" w:hAnsi="Arial" w:cs="Arial"/>
          <w:bCs/>
          <w:sz w:val="20"/>
          <w:szCs w:val="20"/>
          <w:highlight w:val="yellow"/>
        </w:rPr>
        <w:t>NFM2</w:t>
      </w:r>
      <w:r w:rsidRPr="004040A5">
        <w:rPr>
          <w:rFonts w:ascii="Arial" w:hAnsi="Arial" w:cs="Arial"/>
          <w:bCs/>
          <w:sz w:val="20"/>
          <w:szCs w:val="20"/>
        </w:rPr>
        <w:t xml:space="preserve">’ funding will make a very significant contribution towards the goal of the NSPME. NFM2 activities have been selected based on a robust prioritization process (details below). The NFM funding will support high impact activities that are currently unfunded. Some of these activities are a continuation of the high impact activities supported by GF under the current NFM grant. Others are innovations developed to address the issues currently undermining progress towards programmatic goals (described in section 1.3 a above).  A list of intervention is presented below. </w:t>
      </w:r>
      <w:r w:rsidR="006B1AFA" w:rsidRPr="004040A5">
        <w:rPr>
          <w:rFonts w:ascii="Arial" w:hAnsi="Arial" w:cs="Arial"/>
          <w:bCs/>
          <w:sz w:val="20"/>
          <w:szCs w:val="20"/>
        </w:rPr>
        <w:t>The page limit for this section does not allow f</w:t>
      </w:r>
      <w:r w:rsidR="00CF2B9E" w:rsidRPr="004040A5">
        <w:rPr>
          <w:rFonts w:ascii="Arial" w:hAnsi="Arial" w:cs="Arial"/>
          <w:bCs/>
          <w:sz w:val="20"/>
          <w:szCs w:val="20"/>
        </w:rPr>
        <w:t xml:space="preserve">or a detailed description of </w:t>
      </w:r>
      <w:r w:rsidR="00A86AB5" w:rsidRPr="004040A5">
        <w:rPr>
          <w:rFonts w:ascii="Arial" w:hAnsi="Arial" w:cs="Arial"/>
          <w:bCs/>
          <w:sz w:val="20"/>
          <w:szCs w:val="20"/>
        </w:rPr>
        <w:t xml:space="preserve">each </w:t>
      </w:r>
      <w:r w:rsidR="00CF2B9E" w:rsidRPr="004040A5">
        <w:rPr>
          <w:rFonts w:ascii="Arial" w:hAnsi="Arial" w:cs="Arial"/>
          <w:bCs/>
          <w:sz w:val="20"/>
          <w:szCs w:val="20"/>
        </w:rPr>
        <w:t xml:space="preserve">the activities </w:t>
      </w:r>
      <w:r w:rsidR="006B1AFA" w:rsidRPr="004040A5">
        <w:rPr>
          <w:rFonts w:ascii="Arial" w:hAnsi="Arial" w:cs="Arial"/>
          <w:bCs/>
          <w:sz w:val="20"/>
          <w:szCs w:val="20"/>
        </w:rPr>
        <w:t xml:space="preserve">included in this request. For more information on each the activities and the rationale behind selecting </w:t>
      </w:r>
      <w:r w:rsidR="00CF2B9E" w:rsidRPr="004040A5">
        <w:rPr>
          <w:rFonts w:ascii="Arial" w:hAnsi="Arial" w:cs="Arial"/>
          <w:bCs/>
          <w:sz w:val="20"/>
          <w:szCs w:val="20"/>
        </w:rPr>
        <w:t>them</w:t>
      </w:r>
      <w:r w:rsidR="00A86AB5" w:rsidRPr="004040A5">
        <w:rPr>
          <w:rFonts w:ascii="Arial" w:hAnsi="Arial" w:cs="Arial"/>
          <w:bCs/>
          <w:sz w:val="20"/>
          <w:szCs w:val="20"/>
        </w:rPr>
        <w:t>,</w:t>
      </w:r>
      <w:r w:rsidR="00CF2B9E" w:rsidRPr="004040A5">
        <w:rPr>
          <w:rFonts w:ascii="Arial" w:hAnsi="Arial" w:cs="Arial"/>
          <w:bCs/>
          <w:sz w:val="20"/>
          <w:szCs w:val="20"/>
        </w:rPr>
        <w:t xml:space="preserve"> plea</w:t>
      </w:r>
      <w:r w:rsidR="006B1AFA" w:rsidRPr="004040A5">
        <w:rPr>
          <w:rFonts w:ascii="Arial" w:hAnsi="Arial" w:cs="Arial"/>
          <w:bCs/>
          <w:sz w:val="20"/>
          <w:szCs w:val="20"/>
        </w:rPr>
        <w:t>se refer to the NSPME, 2017-21 (see pages 30-53) u</w:t>
      </w:r>
      <w:r w:rsidR="00CF2B9E" w:rsidRPr="004040A5">
        <w:rPr>
          <w:rFonts w:ascii="Arial" w:hAnsi="Arial" w:cs="Arial"/>
          <w:bCs/>
          <w:sz w:val="20"/>
          <w:szCs w:val="20"/>
        </w:rPr>
        <w:t>sing the activity and sub-activity numbers</w:t>
      </w:r>
      <w:r w:rsidR="00023916">
        <w:rPr>
          <w:rFonts w:ascii="Arial" w:hAnsi="Arial" w:cs="Arial"/>
          <w:bCs/>
          <w:sz w:val="20"/>
          <w:szCs w:val="20"/>
        </w:rPr>
        <w:t>[</w:t>
      </w:r>
      <w:r w:rsidRPr="004040A5">
        <w:rPr>
          <w:rFonts w:ascii="Arial" w:hAnsi="Arial" w:cs="Arial"/>
          <w:bCs/>
          <w:sz w:val="20"/>
          <w:szCs w:val="20"/>
        </w:rPr>
        <w:t>presented</w:t>
      </w:r>
      <w:r w:rsidR="00023916">
        <w:rPr>
          <w:rFonts w:ascii="Arial" w:hAnsi="Arial" w:cs="Arial"/>
          <w:bCs/>
          <w:sz w:val="20"/>
          <w:szCs w:val="20"/>
        </w:rPr>
        <w:t xml:space="preserve">in square brackets </w:t>
      </w:r>
      <w:r w:rsidR="009C07B0" w:rsidRPr="004040A5">
        <w:rPr>
          <w:rFonts w:ascii="Arial" w:hAnsi="Arial" w:cs="Arial"/>
          <w:bCs/>
          <w:sz w:val="20"/>
          <w:szCs w:val="20"/>
        </w:rPr>
        <w:t>below</w:t>
      </w:r>
      <w:r w:rsidR="00023916">
        <w:rPr>
          <w:rFonts w:ascii="Arial" w:hAnsi="Arial" w:cs="Arial"/>
          <w:bCs/>
          <w:sz w:val="20"/>
          <w:szCs w:val="20"/>
        </w:rPr>
        <w:t>]</w:t>
      </w:r>
      <w:r w:rsidR="009C07B0" w:rsidRPr="004040A5">
        <w:rPr>
          <w:rFonts w:ascii="Arial" w:hAnsi="Arial" w:cs="Arial"/>
          <w:bCs/>
          <w:sz w:val="20"/>
          <w:szCs w:val="20"/>
        </w:rPr>
        <w:t xml:space="preserve"> for reference</w:t>
      </w:r>
      <w:r w:rsidRPr="004040A5">
        <w:rPr>
          <w:rFonts w:ascii="Arial" w:hAnsi="Arial" w:cs="Arial"/>
          <w:bCs/>
          <w:sz w:val="20"/>
          <w:szCs w:val="20"/>
        </w:rPr>
        <w:t>.</w:t>
      </w:r>
    </w:p>
    <w:p w:rsidR="00DF4AA1" w:rsidRPr="004040A5" w:rsidRDefault="00023916" w:rsidP="00CF08AE">
      <w:pPr>
        <w:tabs>
          <w:tab w:val="left" w:pos="8100"/>
        </w:tabs>
        <w:spacing w:after="120" w:line="240" w:lineRule="auto"/>
        <w:rPr>
          <w:rFonts w:ascii="Arial" w:hAnsi="Arial" w:cs="Arial"/>
          <w:b/>
          <w:i/>
          <w:sz w:val="20"/>
          <w:szCs w:val="20"/>
        </w:rPr>
      </w:pPr>
      <w:r>
        <w:rPr>
          <w:rFonts w:ascii="Arial" w:hAnsi="Arial" w:cs="Arial"/>
          <w:b/>
          <w:sz w:val="20"/>
          <w:szCs w:val="20"/>
          <w:u w:val="single"/>
        </w:rPr>
        <w:lastRenderedPageBreak/>
        <w:t xml:space="preserve">Module 1 - </w:t>
      </w:r>
      <w:r w:rsidR="00A90312" w:rsidRPr="004040A5">
        <w:rPr>
          <w:rFonts w:ascii="Arial" w:hAnsi="Arial" w:cs="Arial"/>
          <w:b/>
          <w:sz w:val="20"/>
          <w:szCs w:val="20"/>
          <w:u w:val="single"/>
        </w:rPr>
        <w:t xml:space="preserve">Case management </w:t>
      </w:r>
    </w:p>
    <w:p w:rsidR="007D3237" w:rsidRDefault="00DF4AA1" w:rsidP="00DF4AA1">
      <w:pPr>
        <w:spacing w:before="120" w:after="110" w:line="240" w:lineRule="auto"/>
        <w:rPr>
          <w:rFonts w:ascii="Arial" w:hAnsi="Arial" w:cs="Arial"/>
          <w:bCs/>
          <w:sz w:val="20"/>
          <w:szCs w:val="20"/>
        </w:rPr>
      </w:pPr>
      <w:r w:rsidRPr="00182F8D">
        <w:rPr>
          <w:rFonts w:ascii="Arial" w:hAnsi="Arial" w:cs="Arial"/>
          <w:bCs/>
          <w:sz w:val="20"/>
          <w:szCs w:val="20"/>
        </w:rPr>
        <w:t>E</w:t>
      </w:r>
      <w:r w:rsidR="00A86AB5" w:rsidRPr="004040A5">
        <w:rPr>
          <w:rFonts w:ascii="Arial" w:hAnsi="Arial" w:cs="Arial"/>
          <w:bCs/>
          <w:sz w:val="20"/>
          <w:szCs w:val="20"/>
        </w:rPr>
        <w:t>nsuring universal early</w:t>
      </w:r>
      <w:r w:rsidR="00A86AB5" w:rsidRPr="00182F8D">
        <w:rPr>
          <w:rFonts w:ascii="Arial" w:hAnsi="Arial" w:cs="Arial"/>
          <w:bCs/>
          <w:sz w:val="20"/>
          <w:szCs w:val="20"/>
          <w:vertAlign w:val="superscript"/>
        </w:rPr>
        <w:footnoteReference w:id="3"/>
      </w:r>
      <w:r w:rsidR="00A86AB5" w:rsidRPr="00182F8D">
        <w:rPr>
          <w:rFonts w:ascii="Arial" w:hAnsi="Arial" w:cs="Arial"/>
          <w:bCs/>
          <w:sz w:val="20"/>
          <w:szCs w:val="20"/>
        </w:rPr>
        <w:t xml:space="preserve"> diagnostic testing will reduce the over-use of ACTs and reduce drug resistance selection pressure on parasites. The detection of malaria infections will be</w:t>
      </w:r>
      <w:r w:rsidR="00A86AB5" w:rsidRPr="004040A5">
        <w:rPr>
          <w:rFonts w:ascii="Arial" w:hAnsi="Arial" w:cs="Arial"/>
          <w:bCs/>
          <w:sz w:val="20"/>
          <w:szCs w:val="20"/>
        </w:rPr>
        <w:t xml:space="preserve"> based primarily on blood examination by RDTs or</w:t>
      </w:r>
      <w:r w:rsidR="007D3237">
        <w:rPr>
          <w:rFonts w:ascii="Arial" w:hAnsi="Arial" w:cs="Arial"/>
          <w:bCs/>
          <w:sz w:val="20"/>
          <w:szCs w:val="20"/>
        </w:rPr>
        <w:t>,</w:t>
      </w:r>
      <w:r w:rsidR="007D3237" w:rsidRPr="00A96D04">
        <w:rPr>
          <w:rFonts w:ascii="Arial" w:hAnsi="Arial" w:cs="Arial"/>
          <w:bCs/>
          <w:sz w:val="20"/>
          <w:szCs w:val="20"/>
        </w:rPr>
        <w:t>where facilities exist</w:t>
      </w:r>
      <w:r w:rsidR="007D3237">
        <w:rPr>
          <w:rFonts w:ascii="Arial" w:hAnsi="Arial" w:cs="Arial"/>
          <w:bCs/>
          <w:sz w:val="20"/>
          <w:szCs w:val="20"/>
        </w:rPr>
        <w:t>, on</w:t>
      </w:r>
      <w:r w:rsidR="00A86AB5" w:rsidRPr="004040A5">
        <w:rPr>
          <w:rFonts w:ascii="Arial" w:hAnsi="Arial" w:cs="Arial"/>
          <w:bCs/>
          <w:sz w:val="20"/>
          <w:szCs w:val="20"/>
        </w:rPr>
        <w:t xml:space="preserve">microscopy. </w:t>
      </w:r>
    </w:p>
    <w:p w:rsidR="00A86AB5" w:rsidRPr="004040A5" w:rsidRDefault="00A86AB5" w:rsidP="00DF4AA1">
      <w:pPr>
        <w:spacing w:before="120" w:after="110" w:line="240" w:lineRule="auto"/>
        <w:rPr>
          <w:rFonts w:ascii="Arial" w:hAnsi="Arial" w:cs="Arial"/>
          <w:bCs/>
          <w:sz w:val="20"/>
          <w:szCs w:val="20"/>
        </w:rPr>
      </w:pPr>
      <w:r w:rsidRPr="004040A5">
        <w:rPr>
          <w:rFonts w:ascii="Arial" w:hAnsi="Arial" w:cs="Arial"/>
          <w:bCs/>
          <w:sz w:val="20"/>
          <w:szCs w:val="20"/>
        </w:rPr>
        <w:t xml:space="preserve">The annual blood examination rate (ABER) for the population at risk </w:t>
      </w:r>
      <w:r w:rsidR="00827D4F">
        <w:rPr>
          <w:rFonts w:ascii="Arial" w:hAnsi="Arial" w:cs="Arial"/>
          <w:bCs/>
          <w:sz w:val="20"/>
          <w:szCs w:val="20"/>
        </w:rPr>
        <w:t xml:space="preserve">in the 8 low endemic districts </w:t>
      </w:r>
      <w:r w:rsidRPr="004040A5">
        <w:rPr>
          <w:rFonts w:ascii="Arial" w:hAnsi="Arial" w:cs="Arial"/>
          <w:bCs/>
          <w:sz w:val="20"/>
          <w:szCs w:val="20"/>
        </w:rPr>
        <w:t xml:space="preserve">will be increased from 4.7% (2015) to </w:t>
      </w:r>
      <w:r w:rsidR="00827D4F" w:rsidRPr="004040A5">
        <w:rPr>
          <w:rFonts w:ascii="Arial" w:hAnsi="Arial" w:cs="Arial"/>
          <w:bCs/>
          <w:sz w:val="20"/>
          <w:szCs w:val="20"/>
        </w:rPr>
        <w:t>6% in 2018 rising to 8</w:t>
      </w:r>
      <w:r w:rsidRPr="004040A5">
        <w:rPr>
          <w:rFonts w:ascii="Arial" w:hAnsi="Arial" w:cs="Arial"/>
          <w:bCs/>
          <w:sz w:val="20"/>
          <w:szCs w:val="20"/>
        </w:rPr>
        <w:t xml:space="preserve">% </w:t>
      </w:r>
      <w:r w:rsidR="00827D4F" w:rsidRPr="004040A5">
        <w:rPr>
          <w:rFonts w:ascii="Arial" w:hAnsi="Arial" w:cs="Arial"/>
          <w:bCs/>
          <w:sz w:val="20"/>
          <w:szCs w:val="20"/>
        </w:rPr>
        <w:t>in 2020</w:t>
      </w:r>
      <w:r w:rsidRPr="004040A5">
        <w:rPr>
          <w:rFonts w:ascii="Arial" w:hAnsi="Arial" w:cs="Arial"/>
          <w:bCs/>
          <w:sz w:val="20"/>
          <w:szCs w:val="20"/>
        </w:rPr>
        <w:t>.  This increase is in-line with the increased case detection requirements and increased accessibility to treatment associated with the move towards malaria elimination.</w:t>
      </w:r>
    </w:p>
    <w:p w:rsidR="00A86AB5" w:rsidRPr="004040A5" w:rsidRDefault="00A86AB5" w:rsidP="00CF08AE">
      <w:pPr>
        <w:spacing w:before="120" w:after="110" w:line="240" w:lineRule="auto"/>
        <w:rPr>
          <w:rFonts w:ascii="Arial" w:hAnsi="Arial" w:cs="Arial"/>
          <w:bCs/>
          <w:sz w:val="20"/>
          <w:szCs w:val="20"/>
        </w:rPr>
      </w:pPr>
      <w:r w:rsidRPr="004040A5">
        <w:rPr>
          <w:rFonts w:ascii="Arial" w:hAnsi="Arial" w:cs="Arial"/>
          <w:bCs/>
          <w:sz w:val="20"/>
          <w:szCs w:val="20"/>
        </w:rPr>
        <w:t xml:space="preserve">Treatment for falciparum and non- falciparum malaria will be based on national treatment policies, which are in-line with WHO guidelines. Currently, all medicines recommended for the treatment of uncomplicated falciparum malaria are ACTs. Treatment will include </w:t>
      </w:r>
      <w:r w:rsidR="001848E0" w:rsidRPr="004040A5">
        <w:rPr>
          <w:rFonts w:ascii="Arial" w:hAnsi="Arial" w:cs="Arial"/>
          <w:bCs/>
          <w:sz w:val="20"/>
          <w:szCs w:val="20"/>
        </w:rPr>
        <w:t xml:space="preserve">single-dose, low-dose </w:t>
      </w:r>
      <w:r w:rsidRPr="004040A5">
        <w:rPr>
          <w:rFonts w:ascii="Arial" w:hAnsi="Arial" w:cs="Arial"/>
          <w:bCs/>
          <w:sz w:val="20"/>
          <w:szCs w:val="20"/>
        </w:rPr>
        <w:t xml:space="preserve">primaquine to eliminate gametocytes, which are responsible for infecting mosquitoes with malaria and thus continuing transmission. Where possible, supervised treatment will be used to support patient adherence to radical treatment for vivax malaria, which requires </w:t>
      </w:r>
      <w:r w:rsidR="007D3237">
        <w:rPr>
          <w:rFonts w:ascii="Arial" w:hAnsi="Arial" w:cs="Arial"/>
          <w:bCs/>
          <w:sz w:val="20"/>
          <w:szCs w:val="20"/>
        </w:rPr>
        <w:t xml:space="preserve">a </w:t>
      </w:r>
      <w:r w:rsidRPr="004040A5">
        <w:rPr>
          <w:rFonts w:ascii="Arial" w:hAnsi="Arial" w:cs="Arial"/>
          <w:bCs/>
          <w:sz w:val="20"/>
          <w:szCs w:val="20"/>
        </w:rPr>
        <w:t>14</w:t>
      </w:r>
      <w:r w:rsidR="007D3237">
        <w:rPr>
          <w:rFonts w:ascii="Arial" w:hAnsi="Arial" w:cs="Arial"/>
          <w:bCs/>
          <w:sz w:val="20"/>
          <w:szCs w:val="20"/>
        </w:rPr>
        <w:t>-</w:t>
      </w:r>
      <w:r w:rsidRPr="004040A5">
        <w:rPr>
          <w:rFonts w:ascii="Arial" w:hAnsi="Arial" w:cs="Arial"/>
          <w:bCs/>
          <w:sz w:val="20"/>
          <w:szCs w:val="20"/>
        </w:rPr>
        <w:t>day</w:t>
      </w:r>
      <w:r w:rsidR="007D3237">
        <w:rPr>
          <w:rFonts w:ascii="Arial" w:hAnsi="Arial" w:cs="Arial"/>
          <w:bCs/>
          <w:sz w:val="20"/>
          <w:szCs w:val="20"/>
        </w:rPr>
        <w:t xml:space="preserve"> course of treatment</w:t>
      </w:r>
      <w:r w:rsidRPr="004040A5">
        <w:rPr>
          <w:rFonts w:ascii="Arial" w:hAnsi="Arial" w:cs="Arial"/>
          <w:bCs/>
          <w:sz w:val="20"/>
          <w:szCs w:val="20"/>
        </w:rPr>
        <w:t xml:space="preserve">. This will entail follow-up by a health worker or volunteer on days 4 and 15.  Directly observed treatment (DOT) for ACT, which has a 3 day regimen, may be applied, but only in the final stages of elimination when the number of cases falls to a point at which DOT becomes manageable.  Until then, </w:t>
      </w:r>
      <w:r w:rsidRPr="004040A5">
        <w:rPr>
          <w:rFonts w:ascii="Arial" w:hAnsi="Arial" w:cs="Arial"/>
          <w:bCs/>
          <w:sz w:val="20"/>
          <w:szCs w:val="20"/>
          <w:lang w:val="en-US"/>
        </w:rPr>
        <w:t>efforts will be made to maximize patients’ adherence to their full treatment regimen through advocacy delivered by healthcare providers (inter-personal communication). The importance of this ‘adherence advocacy’ will be emphasized in all clinical training sessions in future.</w:t>
      </w:r>
    </w:p>
    <w:p w:rsidR="00CF08AE" w:rsidRPr="00182F8D" w:rsidRDefault="00A86AB5" w:rsidP="00CF08AE">
      <w:pPr>
        <w:spacing w:before="120" w:after="110" w:line="240" w:lineRule="auto"/>
        <w:rPr>
          <w:rFonts w:ascii="Arial" w:hAnsi="Arial" w:cs="Arial"/>
          <w:bCs/>
          <w:sz w:val="20"/>
          <w:szCs w:val="20"/>
          <w:lang w:val="en-US"/>
        </w:rPr>
      </w:pPr>
      <w:r w:rsidRPr="004040A5">
        <w:rPr>
          <w:rFonts w:ascii="Arial" w:hAnsi="Arial" w:cs="Arial"/>
          <w:bCs/>
          <w:sz w:val="20"/>
          <w:szCs w:val="20"/>
        </w:rPr>
        <w:t>Achieving universal coverage with case-management requires three channels of service delivery: public, community based and private. While malaria incidence remains high, the Programme will maximize coverage through all three channels while making efforts to improve quality (a</w:t>
      </w:r>
      <w:r w:rsidRPr="004040A5">
        <w:rPr>
          <w:rFonts w:ascii="Arial" w:hAnsi="Arial" w:cs="Arial"/>
          <w:bCs/>
          <w:sz w:val="20"/>
          <w:szCs w:val="20"/>
          <w:lang w:val="en-US"/>
        </w:rPr>
        <w:t xml:space="preserve"> minimum package of RDTs and antimalarials will be made available down to upazila level in non-endemic districts). </w:t>
      </w:r>
      <w:r w:rsidRPr="004040A5">
        <w:rPr>
          <w:rFonts w:ascii="Arial" w:hAnsi="Arial" w:cs="Arial"/>
          <w:bCs/>
          <w:sz w:val="20"/>
          <w:szCs w:val="20"/>
        </w:rPr>
        <w:t>In order to ensure optimal case-management, surveillance and reporting during the elimination phase, selected private sector providers will be allowed to test and treat patients according to the National Treatment Guidelines for Malaria, but will be required to notify all positive cases to the local health authorities within 24 hours of diagnosis.</w:t>
      </w:r>
    </w:p>
    <w:p w:rsidR="009E1508" w:rsidRPr="004040A5" w:rsidRDefault="00CF08AE" w:rsidP="004040A5">
      <w:pPr>
        <w:tabs>
          <w:tab w:val="left" w:pos="8100"/>
        </w:tabs>
        <w:spacing w:after="120" w:line="240" w:lineRule="auto"/>
        <w:rPr>
          <w:rFonts w:ascii="Arial" w:hAnsi="Arial" w:cs="Arial"/>
          <w:bCs/>
          <w:sz w:val="20"/>
          <w:szCs w:val="20"/>
        </w:rPr>
      </w:pPr>
      <w:r w:rsidRPr="004040A5">
        <w:rPr>
          <w:rFonts w:ascii="Arial" w:hAnsi="Arial" w:cs="Arial"/>
          <w:i/>
          <w:sz w:val="20"/>
          <w:szCs w:val="20"/>
        </w:rPr>
        <w:t>Facility-based treatment</w:t>
      </w:r>
      <w:r w:rsidRPr="00182F8D">
        <w:rPr>
          <w:rFonts w:ascii="Arial" w:hAnsi="Arial" w:cs="Arial"/>
          <w:bCs/>
          <w:sz w:val="20"/>
          <w:szCs w:val="20"/>
        </w:rPr>
        <w:t xml:space="preserve"> [$</w:t>
      </w:r>
      <w:r w:rsidRPr="004040A5">
        <w:rPr>
          <w:rFonts w:ascii="Arial" w:hAnsi="Arial" w:cs="Arial"/>
          <w:bCs/>
          <w:sz w:val="20"/>
          <w:szCs w:val="20"/>
        </w:rPr>
        <w:t>X – X% of Allocation]</w:t>
      </w:r>
      <w:r w:rsidR="006D204B" w:rsidRPr="004040A5">
        <w:rPr>
          <w:rFonts w:ascii="Arial" w:hAnsi="Arial" w:cs="Arial"/>
          <w:bCs/>
          <w:sz w:val="20"/>
          <w:szCs w:val="20"/>
        </w:rPr>
        <w:t xml:space="preserve">. </w:t>
      </w:r>
      <w:r w:rsidR="009C07B0" w:rsidRPr="004040A5">
        <w:rPr>
          <w:rFonts w:ascii="Arial" w:hAnsi="Arial" w:cs="Arial"/>
          <w:bCs/>
          <w:sz w:val="20"/>
          <w:szCs w:val="20"/>
        </w:rPr>
        <w:t>The funding request covers: S</w:t>
      </w:r>
      <w:r w:rsidR="00E93FA7" w:rsidRPr="004040A5">
        <w:rPr>
          <w:rFonts w:ascii="Arial" w:hAnsi="Arial" w:cs="Arial"/>
          <w:bCs/>
          <w:sz w:val="20"/>
          <w:szCs w:val="20"/>
        </w:rPr>
        <w:t>trengthen</w:t>
      </w:r>
      <w:r w:rsidR="009C07B0" w:rsidRPr="004040A5">
        <w:rPr>
          <w:rFonts w:ascii="Arial" w:hAnsi="Arial" w:cs="Arial"/>
          <w:bCs/>
          <w:sz w:val="20"/>
          <w:szCs w:val="20"/>
        </w:rPr>
        <w:t>ing</w:t>
      </w:r>
      <w:r w:rsidR="00E93FA7" w:rsidRPr="004040A5">
        <w:rPr>
          <w:rFonts w:ascii="Arial" w:hAnsi="Arial" w:cs="Arial"/>
          <w:bCs/>
          <w:sz w:val="20"/>
          <w:szCs w:val="20"/>
        </w:rPr>
        <w:t xml:space="preserve"> and maintain</w:t>
      </w:r>
      <w:r w:rsidR="009C07B0" w:rsidRPr="004040A5">
        <w:rPr>
          <w:rFonts w:ascii="Arial" w:hAnsi="Arial" w:cs="Arial"/>
          <w:bCs/>
          <w:sz w:val="20"/>
          <w:szCs w:val="20"/>
        </w:rPr>
        <w:t>ing</w:t>
      </w:r>
      <w:r w:rsidR="00E93FA7" w:rsidRPr="004040A5">
        <w:rPr>
          <w:rFonts w:ascii="Arial" w:hAnsi="Arial" w:cs="Arial"/>
          <w:bCs/>
          <w:sz w:val="20"/>
          <w:szCs w:val="20"/>
        </w:rPr>
        <w:t xml:space="preserve"> existing microscopy-based diagnostic services</w:t>
      </w:r>
      <w:r w:rsidR="009C07B0" w:rsidRPr="004040A5">
        <w:rPr>
          <w:rFonts w:ascii="Arial" w:hAnsi="Arial" w:cs="Arial"/>
          <w:bCs/>
          <w:sz w:val="20"/>
          <w:szCs w:val="20"/>
        </w:rPr>
        <w:t xml:space="preserve"> through training </w:t>
      </w:r>
      <w:r w:rsidR="009C07B0" w:rsidRPr="004040A5">
        <w:rPr>
          <w:rFonts w:ascii="Arial" w:hAnsi="Arial" w:cs="Arial"/>
          <w:sz w:val="20"/>
          <w:szCs w:val="20"/>
        </w:rPr>
        <w:t>of newly recruited malaria microscopists as well as routine periodic and needs-based refresher training of existing microscopists</w:t>
      </w:r>
      <w:r w:rsidR="0083321F" w:rsidRPr="004040A5">
        <w:rPr>
          <w:rFonts w:ascii="Arial" w:hAnsi="Arial" w:cs="Arial"/>
          <w:sz w:val="20"/>
          <w:szCs w:val="20"/>
        </w:rPr>
        <w:t xml:space="preserve"> [1.1]</w:t>
      </w:r>
      <w:r w:rsidR="009C07B0" w:rsidRPr="004040A5">
        <w:rPr>
          <w:rFonts w:ascii="Arial" w:hAnsi="Arial" w:cs="Arial"/>
          <w:sz w:val="20"/>
          <w:szCs w:val="20"/>
        </w:rPr>
        <w:t xml:space="preserve">; </w:t>
      </w:r>
      <w:r w:rsidR="00E93FA7" w:rsidRPr="004040A5">
        <w:rPr>
          <w:rFonts w:ascii="Arial" w:hAnsi="Arial" w:cs="Arial"/>
          <w:bCs/>
          <w:sz w:val="20"/>
          <w:szCs w:val="20"/>
        </w:rPr>
        <w:t>Strengthen</w:t>
      </w:r>
      <w:r w:rsidR="009C07B0" w:rsidRPr="004040A5">
        <w:rPr>
          <w:rFonts w:ascii="Arial" w:hAnsi="Arial" w:cs="Arial"/>
          <w:bCs/>
          <w:sz w:val="20"/>
          <w:szCs w:val="20"/>
        </w:rPr>
        <w:t>ing</w:t>
      </w:r>
      <w:r w:rsidR="00E93FA7" w:rsidRPr="004040A5">
        <w:rPr>
          <w:rFonts w:ascii="Arial" w:hAnsi="Arial" w:cs="Arial"/>
          <w:bCs/>
          <w:sz w:val="20"/>
          <w:szCs w:val="20"/>
        </w:rPr>
        <w:t xml:space="preserve"> and expand</w:t>
      </w:r>
      <w:r w:rsidR="009C07B0" w:rsidRPr="004040A5">
        <w:rPr>
          <w:rFonts w:ascii="Arial" w:hAnsi="Arial" w:cs="Arial"/>
          <w:bCs/>
          <w:sz w:val="20"/>
          <w:szCs w:val="20"/>
        </w:rPr>
        <w:t>ing</w:t>
      </w:r>
      <w:r w:rsidR="00E93FA7" w:rsidRPr="004040A5">
        <w:rPr>
          <w:rFonts w:ascii="Arial" w:hAnsi="Arial" w:cs="Arial"/>
          <w:bCs/>
          <w:sz w:val="20"/>
          <w:szCs w:val="20"/>
        </w:rPr>
        <w:t xml:space="preserve"> RDT-based diagnostic services</w:t>
      </w:r>
      <w:r w:rsidR="009315CA" w:rsidRPr="004040A5">
        <w:rPr>
          <w:rFonts w:ascii="Arial" w:hAnsi="Arial" w:cs="Arial"/>
          <w:bCs/>
          <w:sz w:val="20"/>
          <w:szCs w:val="20"/>
        </w:rPr>
        <w:t xml:space="preserve"> through the procurement of RDTs </w:t>
      </w:r>
      <w:r w:rsidR="00693915" w:rsidRPr="004040A5">
        <w:rPr>
          <w:rFonts w:ascii="Arial" w:hAnsi="Arial" w:cs="Arial"/>
          <w:bCs/>
          <w:sz w:val="20"/>
          <w:szCs w:val="20"/>
        </w:rPr>
        <w:t xml:space="preserve">for the public </w:t>
      </w:r>
      <w:r w:rsidR="006D204B" w:rsidRPr="00182F8D">
        <w:rPr>
          <w:rFonts w:ascii="Arial" w:hAnsi="Arial" w:cs="Arial"/>
          <w:bCs/>
          <w:sz w:val="20"/>
          <w:szCs w:val="20"/>
        </w:rPr>
        <w:t>sector</w:t>
      </w:r>
      <w:r w:rsidR="009315CA" w:rsidRPr="004040A5">
        <w:rPr>
          <w:rFonts w:ascii="Arial" w:hAnsi="Arial" w:cs="Arial"/>
          <w:bCs/>
          <w:sz w:val="20"/>
          <w:szCs w:val="20"/>
        </w:rPr>
        <w:t>(see programmatic gap table)</w:t>
      </w:r>
      <w:r w:rsidR="0083321F" w:rsidRPr="004040A5">
        <w:rPr>
          <w:rFonts w:ascii="Arial" w:hAnsi="Arial" w:cs="Arial"/>
          <w:bCs/>
          <w:sz w:val="20"/>
          <w:szCs w:val="20"/>
        </w:rPr>
        <w:t>[1.2]</w:t>
      </w:r>
      <w:r w:rsidR="009315CA" w:rsidRPr="004040A5">
        <w:rPr>
          <w:rFonts w:ascii="Arial" w:hAnsi="Arial" w:cs="Arial"/>
          <w:bCs/>
          <w:sz w:val="20"/>
          <w:szCs w:val="20"/>
        </w:rPr>
        <w:t xml:space="preserve">; </w:t>
      </w:r>
      <w:r w:rsidR="00E93FA7" w:rsidRPr="004040A5">
        <w:rPr>
          <w:rFonts w:ascii="Arial" w:hAnsi="Arial" w:cs="Arial"/>
          <w:bCs/>
          <w:sz w:val="20"/>
          <w:szCs w:val="20"/>
        </w:rPr>
        <w:t>Support</w:t>
      </w:r>
      <w:r w:rsidR="009315CA" w:rsidRPr="004040A5">
        <w:rPr>
          <w:rFonts w:ascii="Arial" w:hAnsi="Arial" w:cs="Arial"/>
          <w:bCs/>
          <w:sz w:val="20"/>
          <w:szCs w:val="20"/>
        </w:rPr>
        <w:t>ing</w:t>
      </w:r>
      <w:r w:rsidR="00E93FA7" w:rsidRPr="004040A5">
        <w:rPr>
          <w:rFonts w:ascii="Arial" w:hAnsi="Arial" w:cs="Arial"/>
          <w:bCs/>
          <w:sz w:val="20"/>
          <w:szCs w:val="20"/>
        </w:rPr>
        <w:t xml:space="preserve"> case management, including the management of severe malaria, in public sector health facilities</w:t>
      </w:r>
      <w:r w:rsidR="009315CA" w:rsidRPr="004040A5">
        <w:rPr>
          <w:rFonts w:ascii="Arial" w:hAnsi="Arial" w:cs="Arial"/>
          <w:bCs/>
          <w:sz w:val="20"/>
          <w:szCs w:val="20"/>
        </w:rPr>
        <w:t xml:space="preserve"> by </w:t>
      </w:r>
      <w:r w:rsidR="0083321F" w:rsidRPr="004040A5">
        <w:rPr>
          <w:rFonts w:ascii="Arial" w:hAnsi="Arial" w:cs="Arial"/>
          <w:sz w:val="20"/>
          <w:szCs w:val="20"/>
        </w:rPr>
        <w:t>t</w:t>
      </w:r>
      <w:r w:rsidR="009315CA" w:rsidRPr="004040A5">
        <w:rPr>
          <w:rFonts w:ascii="Arial" w:hAnsi="Arial" w:cs="Arial"/>
          <w:sz w:val="20"/>
          <w:szCs w:val="20"/>
        </w:rPr>
        <w:t xml:space="preserve">raining of trainers and training and refresher training of public sector service providers on malaria case management and </w:t>
      </w:r>
      <w:r w:rsidR="00A007BD" w:rsidRPr="004040A5">
        <w:rPr>
          <w:rFonts w:ascii="Arial" w:hAnsi="Arial" w:cs="Arial"/>
          <w:sz w:val="20"/>
          <w:szCs w:val="20"/>
        </w:rPr>
        <w:t>programme reorientation for malaria elimination districts</w:t>
      </w:r>
      <w:r w:rsidR="0083321F" w:rsidRPr="004040A5">
        <w:rPr>
          <w:rFonts w:ascii="Arial" w:hAnsi="Arial" w:cs="Arial"/>
          <w:sz w:val="20"/>
          <w:szCs w:val="20"/>
        </w:rPr>
        <w:t xml:space="preserve"> [1.3]</w:t>
      </w:r>
      <w:r w:rsidR="009315CA" w:rsidRPr="004040A5">
        <w:rPr>
          <w:rFonts w:ascii="Arial" w:hAnsi="Arial" w:cs="Arial"/>
          <w:sz w:val="20"/>
          <w:szCs w:val="20"/>
        </w:rPr>
        <w:t xml:space="preserve">; </w:t>
      </w:r>
      <w:r w:rsidR="00693915" w:rsidRPr="004040A5">
        <w:rPr>
          <w:rFonts w:ascii="Arial" w:hAnsi="Arial" w:cs="Arial"/>
          <w:sz w:val="20"/>
          <w:szCs w:val="20"/>
        </w:rPr>
        <w:t>Strengthening microscopy quality assurance (QA) in support of elimination through support for internal QA/QC of malaria microscopy (cascade system) and supervision visits by senior lab technicians</w:t>
      </w:r>
      <w:r w:rsidR="006D204B" w:rsidRPr="00182F8D">
        <w:rPr>
          <w:rFonts w:ascii="Arial" w:hAnsi="Arial" w:cs="Arial"/>
          <w:sz w:val="20"/>
          <w:szCs w:val="20"/>
        </w:rPr>
        <w:t xml:space="preserve"> from central to district/</w:t>
      </w:r>
      <w:r w:rsidR="006D204B" w:rsidRPr="004040A5">
        <w:rPr>
          <w:rFonts w:ascii="Arial" w:hAnsi="Arial" w:cs="Arial"/>
          <w:sz w:val="20"/>
          <w:szCs w:val="20"/>
        </w:rPr>
        <w:t>u</w:t>
      </w:r>
      <w:r w:rsidR="00693915" w:rsidRPr="004040A5">
        <w:rPr>
          <w:rFonts w:ascii="Arial" w:hAnsi="Arial" w:cs="Arial"/>
          <w:sz w:val="20"/>
          <w:szCs w:val="20"/>
        </w:rPr>
        <w:t xml:space="preserve">pazila level [1.16.2]; </w:t>
      </w:r>
      <w:r w:rsidR="00693915" w:rsidRPr="004040A5">
        <w:rPr>
          <w:rFonts w:ascii="Arial" w:hAnsi="Arial" w:cs="Arial"/>
          <w:bCs/>
          <w:sz w:val="20"/>
          <w:szCs w:val="20"/>
        </w:rPr>
        <w:t>StrengtheningQA</w:t>
      </w:r>
      <w:r w:rsidR="009E1508" w:rsidRPr="004040A5">
        <w:rPr>
          <w:rFonts w:ascii="Arial" w:hAnsi="Arial" w:cs="Arial"/>
          <w:bCs/>
          <w:sz w:val="20"/>
          <w:szCs w:val="20"/>
        </w:rPr>
        <w:t xml:space="preserve"> for case management</w:t>
      </w:r>
      <w:r w:rsidR="00693915" w:rsidRPr="004040A5">
        <w:rPr>
          <w:rFonts w:ascii="Arial" w:hAnsi="Arial" w:cs="Arial"/>
          <w:bCs/>
          <w:sz w:val="20"/>
          <w:szCs w:val="20"/>
        </w:rPr>
        <w:t xml:space="preserve"> through support for </w:t>
      </w:r>
      <w:r w:rsidR="007D3237">
        <w:rPr>
          <w:rFonts w:ascii="Arial" w:hAnsi="Arial" w:cs="Arial"/>
          <w:sz w:val="20"/>
          <w:szCs w:val="20"/>
        </w:rPr>
        <w:t>c</w:t>
      </w:r>
      <w:r w:rsidR="007D3237" w:rsidRPr="004040A5">
        <w:rPr>
          <w:rFonts w:ascii="Arial" w:hAnsi="Arial" w:cs="Arial"/>
          <w:sz w:val="20"/>
          <w:szCs w:val="20"/>
        </w:rPr>
        <w:t>linical</w:t>
      </w:r>
      <w:r w:rsidR="00693915" w:rsidRPr="004040A5">
        <w:rPr>
          <w:rFonts w:ascii="Arial" w:hAnsi="Arial" w:cs="Arial"/>
          <w:sz w:val="20"/>
          <w:szCs w:val="20"/>
        </w:rPr>
        <w:t xml:space="preserve"> reviews of death cases by central level staff (field visits) and special needs-based refresher training for clinical staff; </w:t>
      </w:r>
      <w:r w:rsidR="00693915" w:rsidRPr="004040A5">
        <w:rPr>
          <w:rFonts w:ascii="Arial" w:hAnsi="Arial" w:cs="Arial"/>
          <w:bCs/>
          <w:sz w:val="20"/>
          <w:szCs w:val="20"/>
        </w:rPr>
        <w:t xml:space="preserve">Strengthening and expanding case management services through the procurement of ACT and other antimalarials for the public </w:t>
      </w:r>
      <w:r w:rsidR="006D204B" w:rsidRPr="004040A5">
        <w:rPr>
          <w:rFonts w:ascii="Arial" w:hAnsi="Arial" w:cs="Arial"/>
          <w:bCs/>
          <w:sz w:val="20"/>
          <w:szCs w:val="20"/>
        </w:rPr>
        <w:t>sector</w:t>
      </w:r>
      <w:r w:rsidR="00693915" w:rsidRPr="004040A5">
        <w:rPr>
          <w:rFonts w:ascii="Arial" w:hAnsi="Arial" w:cs="Arial"/>
          <w:bCs/>
          <w:sz w:val="20"/>
          <w:szCs w:val="20"/>
        </w:rPr>
        <w:t xml:space="preserve"> (see programmatic gap table)[1.17];</w:t>
      </w:r>
    </w:p>
    <w:p w:rsidR="006D204B" w:rsidRPr="004040A5" w:rsidRDefault="00CF08AE" w:rsidP="004040A5">
      <w:pPr>
        <w:tabs>
          <w:tab w:val="left" w:pos="8100"/>
        </w:tabs>
        <w:spacing w:after="120" w:line="240" w:lineRule="auto"/>
        <w:rPr>
          <w:rFonts w:ascii="Arial" w:hAnsi="Arial" w:cs="Arial"/>
          <w:bCs/>
          <w:i/>
          <w:sz w:val="20"/>
          <w:szCs w:val="20"/>
        </w:rPr>
      </w:pPr>
      <w:r w:rsidRPr="004040A5">
        <w:rPr>
          <w:rFonts w:ascii="Arial" w:hAnsi="Arial" w:cs="Arial"/>
          <w:i/>
          <w:sz w:val="20"/>
          <w:szCs w:val="20"/>
        </w:rPr>
        <w:t>Integrated community case management</w:t>
      </w:r>
      <w:r w:rsidRPr="004040A5">
        <w:rPr>
          <w:rFonts w:ascii="Arial" w:hAnsi="Arial" w:cs="Arial"/>
          <w:bCs/>
          <w:sz w:val="20"/>
          <w:szCs w:val="20"/>
        </w:rPr>
        <w:t>[$X – X% of Allocation]</w:t>
      </w:r>
      <w:r w:rsidR="006D204B" w:rsidRPr="004040A5">
        <w:rPr>
          <w:rFonts w:ascii="Arial" w:hAnsi="Arial" w:cs="Arial"/>
          <w:bCs/>
          <w:sz w:val="20"/>
          <w:szCs w:val="20"/>
        </w:rPr>
        <w:t xml:space="preserve">. </w:t>
      </w:r>
      <w:r w:rsidR="006D204B" w:rsidRPr="00182F8D">
        <w:rPr>
          <w:rFonts w:ascii="Arial" w:hAnsi="Arial" w:cs="Arial"/>
          <w:bCs/>
          <w:sz w:val="20"/>
          <w:szCs w:val="20"/>
        </w:rPr>
        <w:t xml:space="preserve">The funding request covers: Strengthening and expanding RDT-based diagnostic services through the procurement of RDTs for the </w:t>
      </w:r>
      <w:r w:rsidR="006D204B" w:rsidRPr="004040A5">
        <w:rPr>
          <w:rFonts w:ascii="Arial" w:hAnsi="Arial" w:cs="Arial"/>
          <w:bCs/>
          <w:sz w:val="20"/>
          <w:szCs w:val="20"/>
        </w:rPr>
        <w:t>NGO sector (see programmatic gap table)[1.4 &amp; 1.17]; and, Strengthening and expanding case management services through the procurement of ACT and other antimalarials for the NGO sector (see programmatic gap table)[1.4 &amp;1.17];</w:t>
      </w:r>
    </w:p>
    <w:p w:rsidR="009E1508" w:rsidRPr="004040A5" w:rsidRDefault="009E1508" w:rsidP="006E5CE2">
      <w:pPr>
        <w:tabs>
          <w:tab w:val="left" w:pos="8100"/>
        </w:tabs>
        <w:spacing w:after="120" w:line="240" w:lineRule="auto"/>
        <w:rPr>
          <w:rFonts w:ascii="Arial" w:hAnsi="Arial" w:cs="Arial"/>
          <w:i/>
          <w:sz w:val="20"/>
          <w:szCs w:val="20"/>
        </w:rPr>
      </w:pPr>
      <w:r w:rsidRPr="004040A5">
        <w:rPr>
          <w:rFonts w:ascii="Arial" w:hAnsi="Arial" w:cs="Arial"/>
          <w:i/>
          <w:sz w:val="20"/>
          <w:szCs w:val="20"/>
        </w:rPr>
        <w:t>Private sector case managemen</w:t>
      </w:r>
      <w:r w:rsidR="00827D4F">
        <w:rPr>
          <w:rFonts w:ascii="Arial" w:hAnsi="Arial" w:cs="Arial"/>
          <w:i/>
          <w:sz w:val="20"/>
          <w:szCs w:val="20"/>
        </w:rPr>
        <w:t xml:space="preserve">t </w:t>
      </w:r>
      <w:r w:rsidR="00827D4F" w:rsidRPr="00A96D04">
        <w:rPr>
          <w:rFonts w:ascii="Arial" w:hAnsi="Arial" w:cs="Arial"/>
          <w:bCs/>
          <w:sz w:val="20"/>
          <w:szCs w:val="20"/>
        </w:rPr>
        <w:t>[$X – X% of Allocation].</w:t>
      </w:r>
      <w:r w:rsidR="006E5CE2" w:rsidRPr="004040A5">
        <w:rPr>
          <w:rFonts w:ascii="Arial" w:hAnsi="Arial" w:cs="Arial"/>
          <w:bCs/>
          <w:sz w:val="20"/>
          <w:szCs w:val="20"/>
        </w:rPr>
        <w:t xml:space="preserve">The funding request covers: </w:t>
      </w:r>
      <w:r w:rsidR="00E93FA7" w:rsidRPr="004040A5">
        <w:rPr>
          <w:rFonts w:ascii="Arial" w:hAnsi="Arial" w:cs="Arial"/>
          <w:bCs/>
          <w:sz w:val="20"/>
          <w:szCs w:val="20"/>
        </w:rPr>
        <w:t>Strengthen</w:t>
      </w:r>
      <w:r w:rsidR="006E5CE2" w:rsidRPr="004040A5">
        <w:rPr>
          <w:rFonts w:ascii="Arial" w:hAnsi="Arial" w:cs="Arial"/>
          <w:bCs/>
          <w:sz w:val="20"/>
          <w:szCs w:val="20"/>
        </w:rPr>
        <w:t>ing</w:t>
      </w:r>
      <w:r w:rsidR="00E93FA7" w:rsidRPr="004040A5">
        <w:rPr>
          <w:rFonts w:ascii="Arial" w:hAnsi="Arial" w:cs="Arial"/>
          <w:bCs/>
          <w:sz w:val="20"/>
          <w:szCs w:val="20"/>
        </w:rPr>
        <w:t xml:space="preserve"> and monitor private sector case management services</w:t>
      </w:r>
      <w:r w:rsidR="006E5CE2" w:rsidRPr="004040A5">
        <w:rPr>
          <w:rFonts w:ascii="Arial" w:hAnsi="Arial" w:cs="Arial"/>
          <w:bCs/>
          <w:sz w:val="20"/>
          <w:szCs w:val="20"/>
        </w:rPr>
        <w:t xml:space="preserve"> [1.14] through </w:t>
      </w:r>
      <w:r w:rsidR="006E5CE2" w:rsidRPr="004040A5">
        <w:rPr>
          <w:rFonts w:ascii="Arial" w:hAnsi="Arial" w:cs="Arial"/>
          <w:sz w:val="20"/>
          <w:szCs w:val="20"/>
        </w:rPr>
        <w:t>data collection using national forms (including zero reporting) implemented either through Community Health Care Providers or managed through some form of incentivised text messaging arrangement</w:t>
      </w:r>
      <w:r w:rsidR="00E93FA7" w:rsidRPr="004040A5">
        <w:rPr>
          <w:rFonts w:ascii="Arial" w:hAnsi="Arial" w:cs="Arial"/>
          <w:bCs/>
          <w:sz w:val="20"/>
          <w:szCs w:val="20"/>
        </w:rPr>
        <w:t>.</w:t>
      </w:r>
    </w:p>
    <w:p w:rsidR="00E44728" w:rsidRPr="004040A5" w:rsidRDefault="009E1508" w:rsidP="009E1508">
      <w:pPr>
        <w:tabs>
          <w:tab w:val="left" w:pos="8100"/>
        </w:tabs>
        <w:spacing w:after="120" w:line="240" w:lineRule="auto"/>
        <w:rPr>
          <w:rFonts w:ascii="Arial" w:hAnsi="Arial" w:cs="Arial"/>
          <w:i/>
          <w:sz w:val="20"/>
          <w:szCs w:val="20"/>
        </w:rPr>
      </w:pPr>
      <w:r w:rsidRPr="004040A5">
        <w:rPr>
          <w:rFonts w:ascii="Arial" w:hAnsi="Arial" w:cs="Arial"/>
          <w:i/>
          <w:sz w:val="20"/>
          <w:szCs w:val="20"/>
        </w:rPr>
        <w:t>Ensuring drug quality</w:t>
      </w:r>
      <w:r w:rsidRPr="004040A5">
        <w:rPr>
          <w:rFonts w:ascii="Arial" w:hAnsi="Arial" w:cs="Arial"/>
          <w:bCs/>
          <w:sz w:val="20"/>
          <w:szCs w:val="20"/>
        </w:rPr>
        <w:t xml:space="preserve"> [$X – X% of Allocation]</w:t>
      </w:r>
      <w:r w:rsidR="006D204B" w:rsidRPr="004040A5">
        <w:rPr>
          <w:rFonts w:ascii="Arial" w:hAnsi="Arial" w:cs="Arial"/>
          <w:bCs/>
          <w:sz w:val="20"/>
          <w:szCs w:val="20"/>
        </w:rPr>
        <w:t xml:space="preserve">. The funding request covers: Optimizing the quality of antimalarial drugs by supporting </w:t>
      </w:r>
      <w:r w:rsidR="006D204B" w:rsidRPr="004040A5">
        <w:rPr>
          <w:rFonts w:ascii="Arial" w:hAnsi="Arial" w:cs="Arial"/>
          <w:sz w:val="20"/>
          <w:szCs w:val="20"/>
        </w:rPr>
        <w:t>central and district level</w:t>
      </w:r>
      <w:r w:rsidR="006D204B" w:rsidRPr="004040A5">
        <w:rPr>
          <w:rFonts w:ascii="Arial" w:hAnsi="Arial" w:cs="Arial"/>
          <w:bCs/>
          <w:sz w:val="20"/>
          <w:szCs w:val="20"/>
        </w:rPr>
        <w:t xml:space="preserve"> meetings of the </w:t>
      </w:r>
      <w:r w:rsidR="006D204B" w:rsidRPr="004040A5">
        <w:rPr>
          <w:rFonts w:ascii="Arial" w:hAnsi="Arial" w:cs="Arial"/>
          <w:sz w:val="20"/>
          <w:szCs w:val="20"/>
        </w:rPr>
        <w:t xml:space="preserve">Drug Administration </w:t>
      </w:r>
      <w:r w:rsidR="006D204B" w:rsidRPr="004040A5">
        <w:rPr>
          <w:rFonts w:ascii="Arial" w:hAnsi="Arial" w:cs="Arial"/>
          <w:sz w:val="20"/>
          <w:szCs w:val="20"/>
        </w:rPr>
        <w:lastRenderedPageBreak/>
        <w:t xml:space="preserve">Department on removal of monotherapy and inappropriate antimalarial medicines as well as facility visits by enforcement teams </w:t>
      </w:r>
      <w:r w:rsidR="006D204B" w:rsidRPr="004040A5">
        <w:rPr>
          <w:rFonts w:ascii="Arial" w:hAnsi="Arial" w:cs="Arial"/>
          <w:bCs/>
          <w:i/>
          <w:sz w:val="20"/>
          <w:szCs w:val="20"/>
        </w:rPr>
        <w:t>[1.16.1]</w:t>
      </w:r>
      <w:r w:rsidR="000C53D4" w:rsidRPr="004040A5">
        <w:rPr>
          <w:rFonts w:ascii="Arial" w:hAnsi="Arial" w:cs="Arial"/>
          <w:sz w:val="20"/>
          <w:szCs w:val="20"/>
        </w:rPr>
        <w:t>.</w:t>
      </w:r>
    </w:p>
    <w:p w:rsidR="00E44728" w:rsidRPr="004040A5" w:rsidRDefault="00E44728" w:rsidP="004040A5">
      <w:pPr>
        <w:tabs>
          <w:tab w:val="left" w:pos="8100"/>
        </w:tabs>
        <w:spacing w:after="120" w:line="240" w:lineRule="auto"/>
        <w:rPr>
          <w:rFonts w:ascii="Arial" w:hAnsi="Arial" w:cs="Arial"/>
          <w:bCs/>
          <w:sz w:val="20"/>
          <w:szCs w:val="20"/>
        </w:rPr>
      </w:pPr>
      <w:r w:rsidRPr="004040A5">
        <w:rPr>
          <w:rFonts w:ascii="Arial" w:hAnsi="Arial" w:cs="Arial"/>
          <w:i/>
          <w:sz w:val="20"/>
          <w:szCs w:val="20"/>
        </w:rPr>
        <w:t>Epidemic preparedness and response</w:t>
      </w:r>
      <w:r w:rsidRPr="004040A5">
        <w:rPr>
          <w:rFonts w:ascii="Arial" w:hAnsi="Arial" w:cs="Arial"/>
          <w:bCs/>
          <w:sz w:val="20"/>
          <w:szCs w:val="20"/>
        </w:rPr>
        <w:t xml:space="preserve"> [$X – X% of Allocation]</w:t>
      </w:r>
      <w:r w:rsidR="00A645E5" w:rsidRPr="004040A5">
        <w:rPr>
          <w:rFonts w:ascii="Arial" w:hAnsi="Arial" w:cs="Arial"/>
          <w:bCs/>
          <w:sz w:val="20"/>
          <w:szCs w:val="20"/>
        </w:rPr>
        <w:t xml:space="preserve">. The funding request covers: </w:t>
      </w:r>
      <w:r w:rsidRPr="004040A5">
        <w:rPr>
          <w:rFonts w:ascii="Arial" w:hAnsi="Arial" w:cs="Arial"/>
          <w:bCs/>
          <w:sz w:val="20"/>
          <w:szCs w:val="20"/>
        </w:rPr>
        <w:t>Maintain</w:t>
      </w:r>
      <w:r w:rsidR="00A645E5" w:rsidRPr="004040A5">
        <w:rPr>
          <w:rFonts w:ascii="Arial" w:hAnsi="Arial" w:cs="Arial"/>
          <w:bCs/>
          <w:sz w:val="20"/>
          <w:szCs w:val="20"/>
        </w:rPr>
        <w:t>ing</w:t>
      </w:r>
      <w:r w:rsidRPr="004040A5">
        <w:rPr>
          <w:rFonts w:ascii="Arial" w:hAnsi="Arial" w:cs="Arial"/>
          <w:bCs/>
          <w:sz w:val="20"/>
          <w:szCs w:val="20"/>
        </w:rPr>
        <w:t xml:space="preserve"> preparedness for outbreak response</w:t>
      </w:r>
      <w:r w:rsidR="00A645E5" w:rsidRPr="004040A5">
        <w:rPr>
          <w:rFonts w:ascii="Arial" w:hAnsi="Arial" w:cs="Arial"/>
          <w:bCs/>
          <w:sz w:val="20"/>
          <w:szCs w:val="20"/>
        </w:rPr>
        <w:t xml:space="preserve"> by supporting training for District Rapid Response Teams in transmission reduction districts [3.3]</w:t>
      </w:r>
      <w:r w:rsidRPr="004040A5">
        <w:rPr>
          <w:rFonts w:ascii="Arial" w:hAnsi="Arial" w:cs="Arial"/>
          <w:bCs/>
          <w:sz w:val="20"/>
          <w:szCs w:val="20"/>
        </w:rPr>
        <w:t>.</w:t>
      </w:r>
    </w:p>
    <w:p w:rsidR="00E44728" w:rsidRPr="004040A5" w:rsidRDefault="00E44728" w:rsidP="005B5C71">
      <w:pPr>
        <w:tabs>
          <w:tab w:val="left" w:pos="8100"/>
        </w:tabs>
        <w:spacing w:after="120" w:line="240" w:lineRule="auto"/>
        <w:rPr>
          <w:rFonts w:ascii="Arial" w:hAnsi="Arial" w:cs="Arial"/>
          <w:i/>
          <w:sz w:val="20"/>
          <w:szCs w:val="20"/>
        </w:rPr>
      </w:pPr>
      <w:r w:rsidRPr="004040A5">
        <w:rPr>
          <w:rFonts w:ascii="Arial" w:hAnsi="Arial" w:cs="Arial"/>
          <w:i/>
          <w:sz w:val="20"/>
          <w:szCs w:val="20"/>
        </w:rPr>
        <w:t>Active case detection (elimination phase)</w:t>
      </w:r>
      <w:r w:rsidR="009E1508" w:rsidRPr="004040A5">
        <w:rPr>
          <w:rFonts w:ascii="Arial" w:hAnsi="Arial" w:cs="Arial"/>
          <w:bCs/>
          <w:sz w:val="20"/>
          <w:szCs w:val="20"/>
        </w:rPr>
        <w:t xml:space="preserve"> [$X – X% of Allocation]</w:t>
      </w:r>
      <w:r w:rsidR="00A645E5" w:rsidRPr="004040A5">
        <w:rPr>
          <w:rFonts w:ascii="Arial" w:hAnsi="Arial" w:cs="Arial"/>
          <w:bCs/>
          <w:sz w:val="20"/>
          <w:szCs w:val="20"/>
        </w:rPr>
        <w:t xml:space="preserve">. The funding request covers: Maintaining preparedness for focus response by supporting training for District Rapid Response Teams in elimination districts [3.7]; </w:t>
      </w:r>
      <w:r w:rsidRPr="004040A5">
        <w:rPr>
          <w:rFonts w:ascii="Arial" w:hAnsi="Arial" w:cs="Arial"/>
          <w:bCs/>
          <w:sz w:val="20"/>
          <w:szCs w:val="20"/>
        </w:rPr>
        <w:t>Conduct</w:t>
      </w:r>
      <w:r w:rsidR="00A645E5" w:rsidRPr="004040A5">
        <w:rPr>
          <w:rFonts w:ascii="Arial" w:hAnsi="Arial" w:cs="Arial"/>
          <w:bCs/>
          <w:sz w:val="20"/>
          <w:szCs w:val="20"/>
        </w:rPr>
        <w:t xml:space="preserve">ingcase investigations, </w:t>
      </w:r>
      <w:r w:rsidRPr="004040A5">
        <w:rPr>
          <w:rFonts w:ascii="Arial" w:hAnsi="Arial" w:cs="Arial"/>
          <w:bCs/>
          <w:sz w:val="20"/>
          <w:szCs w:val="20"/>
        </w:rPr>
        <w:t>transmission focus investigations</w:t>
      </w:r>
      <w:r w:rsidR="00A645E5" w:rsidRPr="004040A5">
        <w:rPr>
          <w:rFonts w:ascii="Arial" w:hAnsi="Arial" w:cs="Arial"/>
          <w:bCs/>
          <w:sz w:val="20"/>
          <w:szCs w:val="20"/>
        </w:rPr>
        <w:t xml:space="preserve"> [3.8]</w:t>
      </w:r>
      <w:r w:rsidR="005B5C71" w:rsidRPr="004040A5">
        <w:rPr>
          <w:rFonts w:ascii="Arial" w:hAnsi="Arial" w:cs="Arial"/>
          <w:bCs/>
          <w:sz w:val="20"/>
          <w:szCs w:val="20"/>
        </w:rPr>
        <w:t xml:space="preserve"> and focus responses [3.9]</w:t>
      </w:r>
      <w:r w:rsidR="000C53D4" w:rsidRPr="004040A5">
        <w:rPr>
          <w:rFonts w:ascii="Arial" w:hAnsi="Arial" w:cs="Arial"/>
          <w:bCs/>
          <w:sz w:val="20"/>
          <w:szCs w:val="20"/>
        </w:rPr>
        <w:t>.</w:t>
      </w:r>
    </w:p>
    <w:p w:rsidR="00E44728" w:rsidRPr="004040A5" w:rsidRDefault="00E44728" w:rsidP="00E44728">
      <w:pPr>
        <w:tabs>
          <w:tab w:val="left" w:pos="8100"/>
        </w:tabs>
        <w:spacing w:after="120" w:line="240" w:lineRule="auto"/>
        <w:rPr>
          <w:rFonts w:ascii="Arial" w:hAnsi="Arial" w:cs="Arial"/>
          <w:i/>
          <w:sz w:val="20"/>
          <w:szCs w:val="20"/>
        </w:rPr>
      </w:pPr>
      <w:r w:rsidRPr="004040A5">
        <w:rPr>
          <w:rFonts w:ascii="Arial" w:hAnsi="Arial" w:cs="Arial"/>
          <w:i/>
          <w:sz w:val="20"/>
          <w:szCs w:val="20"/>
        </w:rPr>
        <w:t xml:space="preserve">Therapeutic efficacy studies </w:t>
      </w:r>
      <w:r w:rsidRPr="004040A5">
        <w:rPr>
          <w:rFonts w:ascii="Arial" w:hAnsi="Arial" w:cs="Arial"/>
          <w:bCs/>
          <w:sz w:val="20"/>
          <w:szCs w:val="20"/>
        </w:rPr>
        <w:t>[$X – X% of Allocation]</w:t>
      </w:r>
      <w:r w:rsidR="005B5C71" w:rsidRPr="004040A5">
        <w:rPr>
          <w:rFonts w:ascii="Arial" w:hAnsi="Arial" w:cs="Arial"/>
          <w:bCs/>
          <w:sz w:val="20"/>
          <w:szCs w:val="20"/>
        </w:rPr>
        <w:t xml:space="preserve">. The funding request covers: </w:t>
      </w:r>
      <w:r w:rsidRPr="004040A5">
        <w:rPr>
          <w:rFonts w:ascii="Arial" w:hAnsi="Arial" w:cs="Arial"/>
          <w:bCs/>
          <w:sz w:val="20"/>
          <w:szCs w:val="20"/>
        </w:rPr>
        <w:t>Drug resistance monitoring</w:t>
      </w:r>
      <w:r w:rsidR="005B5C71" w:rsidRPr="004040A5">
        <w:rPr>
          <w:rFonts w:ascii="Arial" w:hAnsi="Arial" w:cs="Arial"/>
          <w:bCs/>
          <w:sz w:val="20"/>
          <w:szCs w:val="20"/>
        </w:rPr>
        <w:t xml:space="preserve"> through support for therapeutic efficacy studies [3.11]</w:t>
      </w:r>
      <w:r w:rsidRPr="004040A5">
        <w:rPr>
          <w:rFonts w:ascii="Arial" w:hAnsi="Arial" w:cs="Arial"/>
          <w:bCs/>
          <w:sz w:val="20"/>
          <w:szCs w:val="20"/>
        </w:rPr>
        <w:t>.</w:t>
      </w:r>
    </w:p>
    <w:p w:rsidR="00E44728" w:rsidRPr="004040A5" w:rsidRDefault="00E44728" w:rsidP="004040A5">
      <w:pPr>
        <w:tabs>
          <w:tab w:val="left" w:pos="8100"/>
        </w:tabs>
        <w:spacing w:after="120" w:line="240" w:lineRule="auto"/>
        <w:rPr>
          <w:rFonts w:ascii="Arial" w:hAnsi="Arial" w:cs="Arial"/>
          <w:bCs/>
          <w:sz w:val="20"/>
          <w:szCs w:val="20"/>
          <w:u w:val="single"/>
        </w:rPr>
      </w:pPr>
      <w:r w:rsidRPr="004040A5">
        <w:rPr>
          <w:rFonts w:ascii="Arial" w:hAnsi="Arial" w:cs="Arial"/>
          <w:i/>
          <w:sz w:val="20"/>
          <w:szCs w:val="20"/>
        </w:rPr>
        <w:t xml:space="preserve">IEC/BCC </w:t>
      </w:r>
      <w:r w:rsidRPr="004040A5">
        <w:rPr>
          <w:rFonts w:ascii="Arial" w:hAnsi="Arial" w:cs="Arial"/>
          <w:bCs/>
          <w:sz w:val="20"/>
          <w:szCs w:val="20"/>
        </w:rPr>
        <w:t>[$X – X% of Allocation]</w:t>
      </w:r>
      <w:r w:rsidR="005B5C71" w:rsidRPr="004040A5">
        <w:rPr>
          <w:rFonts w:ascii="Arial" w:hAnsi="Arial" w:cs="Arial"/>
          <w:bCs/>
          <w:sz w:val="20"/>
          <w:szCs w:val="20"/>
        </w:rPr>
        <w:t xml:space="preserve">. The funding request covers: </w:t>
      </w:r>
      <w:r w:rsidR="005B5C71" w:rsidRPr="004040A5">
        <w:rPr>
          <w:rFonts w:ascii="Arial" w:hAnsi="Arial" w:cs="Arial"/>
          <w:sz w:val="20"/>
          <w:szCs w:val="20"/>
        </w:rPr>
        <w:t>Support for IEC/BCC technical working group meetings [</w:t>
      </w:r>
      <w:r w:rsidR="005B5C71" w:rsidRPr="004040A5">
        <w:rPr>
          <w:rFonts w:ascii="Arial" w:hAnsi="Arial" w:cs="Arial"/>
          <w:bCs/>
          <w:i/>
          <w:sz w:val="20"/>
          <w:szCs w:val="20"/>
        </w:rPr>
        <w:t>SE2.12.1]</w:t>
      </w:r>
      <w:r w:rsidR="005B5C71" w:rsidRPr="004040A5">
        <w:rPr>
          <w:rFonts w:ascii="Arial" w:hAnsi="Arial" w:cs="Arial"/>
          <w:sz w:val="20"/>
          <w:szCs w:val="20"/>
        </w:rPr>
        <w:t>; TA for the development of a communication strategy for malaria elimination [SE2.12.3]</w:t>
      </w:r>
      <w:r w:rsidR="00F0177D" w:rsidRPr="004040A5">
        <w:rPr>
          <w:rFonts w:ascii="Arial" w:hAnsi="Arial" w:cs="Arial"/>
          <w:sz w:val="20"/>
          <w:szCs w:val="20"/>
        </w:rPr>
        <w:t>; A large-scale community mobilization event on World Malaria Day [SE2.12.4]</w:t>
      </w:r>
      <w:r w:rsidR="00831725" w:rsidRPr="004040A5">
        <w:rPr>
          <w:rFonts w:ascii="Arial" w:hAnsi="Arial" w:cs="Arial"/>
          <w:sz w:val="20"/>
          <w:szCs w:val="20"/>
        </w:rPr>
        <w:t>; and, Orientation meetings to promote community involvement in malaria elimination [SE2.12.4]</w:t>
      </w:r>
      <w:r w:rsidR="00F0177D" w:rsidRPr="004040A5">
        <w:rPr>
          <w:rFonts w:ascii="Arial" w:hAnsi="Arial" w:cs="Arial"/>
          <w:bCs/>
          <w:sz w:val="20"/>
          <w:szCs w:val="20"/>
        </w:rPr>
        <w:t>.</w:t>
      </w:r>
    </w:p>
    <w:p w:rsidR="00E93FA7" w:rsidRPr="004040A5" w:rsidRDefault="00023916" w:rsidP="00CF08AE">
      <w:pPr>
        <w:spacing w:before="120" w:after="110" w:line="240" w:lineRule="auto"/>
        <w:rPr>
          <w:rFonts w:ascii="Arial" w:hAnsi="Arial" w:cs="Arial"/>
          <w:b/>
          <w:bCs/>
          <w:sz w:val="20"/>
          <w:szCs w:val="20"/>
          <w:u w:val="single"/>
        </w:rPr>
      </w:pPr>
      <w:r w:rsidRPr="004040A5">
        <w:rPr>
          <w:rFonts w:ascii="Arial" w:hAnsi="Arial" w:cs="Arial"/>
          <w:b/>
          <w:sz w:val="20"/>
          <w:szCs w:val="20"/>
          <w:u w:val="single"/>
        </w:rPr>
        <w:t xml:space="preserve">Module 1 - </w:t>
      </w:r>
      <w:r w:rsidR="006E52A7" w:rsidRPr="004040A5">
        <w:rPr>
          <w:rFonts w:ascii="Arial" w:hAnsi="Arial" w:cs="Arial"/>
          <w:b/>
          <w:bCs/>
          <w:sz w:val="20"/>
          <w:szCs w:val="20"/>
          <w:u w:val="single"/>
        </w:rPr>
        <w:t>Vector control.</w:t>
      </w:r>
    </w:p>
    <w:p w:rsidR="00A86AB5" w:rsidRPr="004040A5" w:rsidRDefault="00E93FA7" w:rsidP="00CF08AE">
      <w:pPr>
        <w:spacing w:before="120" w:after="110" w:line="240" w:lineRule="auto"/>
        <w:rPr>
          <w:rFonts w:ascii="Arial" w:hAnsi="Arial" w:cs="Arial"/>
          <w:bCs/>
          <w:sz w:val="20"/>
          <w:szCs w:val="20"/>
        </w:rPr>
      </w:pPr>
      <w:r w:rsidRPr="00182F8D">
        <w:rPr>
          <w:rFonts w:ascii="Arial" w:hAnsi="Arial" w:cs="Arial"/>
          <w:bCs/>
          <w:sz w:val="20"/>
          <w:szCs w:val="20"/>
        </w:rPr>
        <w:t xml:space="preserve">The </w:t>
      </w:r>
      <w:r w:rsidRPr="004040A5">
        <w:rPr>
          <w:rFonts w:ascii="Arial" w:hAnsi="Arial" w:cs="Arial"/>
          <w:bCs/>
          <w:sz w:val="20"/>
          <w:szCs w:val="20"/>
        </w:rPr>
        <w:t>selection of vector control interventions will be guided by an eco-epidemiological assessment informed by malaria case and entomological surveillance data. Implementation will be within the framework of ‘Integrated Vector Management’ (IVM)</w:t>
      </w:r>
      <w:r w:rsidRPr="00182F8D">
        <w:rPr>
          <w:rFonts w:ascii="Arial" w:hAnsi="Arial" w:cs="Arial"/>
          <w:bCs/>
          <w:sz w:val="20"/>
          <w:szCs w:val="20"/>
          <w:vertAlign w:val="superscript"/>
        </w:rPr>
        <w:footnoteReference w:id="4"/>
      </w:r>
      <w:r w:rsidRPr="00182F8D">
        <w:rPr>
          <w:rFonts w:ascii="Arial" w:hAnsi="Arial" w:cs="Arial"/>
          <w:bCs/>
          <w:sz w:val="20"/>
          <w:szCs w:val="20"/>
        </w:rPr>
        <w:t xml:space="preserve"> to ensure optim</w:t>
      </w:r>
      <w:r w:rsidRPr="004040A5">
        <w:rPr>
          <w:rFonts w:ascii="Arial" w:hAnsi="Arial" w:cs="Arial"/>
          <w:bCs/>
          <w:sz w:val="20"/>
          <w:szCs w:val="20"/>
        </w:rPr>
        <w:t>al use of resources. Use of insecticidal interventions will follow technical recommendations provided in WHO’s ‘Global plan for insecticide resistance management in malaria vectors’.</w:t>
      </w:r>
    </w:p>
    <w:p w:rsidR="00A86AB5" w:rsidRPr="004040A5" w:rsidRDefault="00A86AB5" w:rsidP="00CF08AE">
      <w:pPr>
        <w:spacing w:before="120" w:after="110" w:line="240" w:lineRule="auto"/>
        <w:rPr>
          <w:rFonts w:ascii="Arial" w:hAnsi="Arial" w:cs="Arial"/>
          <w:bCs/>
          <w:sz w:val="20"/>
          <w:szCs w:val="20"/>
        </w:rPr>
      </w:pPr>
      <w:r w:rsidRPr="004040A5">
        <w:rPr>
          <w:rFonts w:ascii="Arial" w:hAnsi="Arial" w:cs="Arial"/>
          <w:bCs/>
          <w:sz w:val="20"/>
          <w:szCs w:val="20"/>
        </w:rPr>
        <w:t xml:space="preserve">LLINs treated with synthetic pyrethroids have been shown to reduce malaria incidence by around 30% in forested areas </w:t>
      </w:r>
      <w:r w:rsidR="00B825BB">
        <w:rPr>
          <w:rFonts w:ascii="Arial" w:hAnsi="Arial" w:cs="Arial"/>
          <w:bCs/>
          <w:sz w:val="20"/>
          <w:szCs w:val="20"/>
        </w:rPr>
        <w:t>of Southeast Asia</w:t>
      </w:r>
      <w:r w:rsidRPr="004040A5">
        <w:rPr>
          <w:rFonts w:ascii="Arial" w:hAnsi="Arial" w:cs="Arial"/>
          <w:bCs/>
          <w:sz w:val="20"/>
          <w:szCs w:val="20"/>
        </w:rPr>
        <w:t xml:space="preserve"> despite the local malaria vectors in some areas being characterized by early outdoor biting. LLINs are a core malaria prevention measure in Bangladesh, </w:t>
      </w:r>
      <w:r w:rsidR="00B825BB">
        <w:rPr>
          <w:rFonts w:ascii="Arial" w:hAnsi="Arial" w:cs="Arial"/>
          <w:bCs/>
          <w:sz w:val="20"/>
          <w:szCs w:val="20"/>
        </w:rPr>
        <w:t xml:space="preserve">where they are </w:t>
      </w:r>
      <w:r w:rsidRPr="004040A5">
        <w:rPr>
          <w:rFonts w:ascii="Arial" w:hAnsi="Arial" w:cs="Arial"/>
          <w:bCs/>
          <w:sz w:val="20"/>
          <w:szCs w:val="20"/>
        </w:rPr>
        <w:t xml:space="preserve">widely used to reduce transmission and provide personal protection. </w:t>
      </w:r>
    </w:p>
    <w:p w:rsidR="006E52A7" w:rsidRPr="004040A5" w:rsidRDefault="00A86AB5" w:rsidP="004040A5">
      <w:pPr>
        <w:spacing w:before="120" w:after="110" w:line="240" w:lineRule="auto"/>
        <w:rPr>
          <w:rFonts w:ascii="Arial" w:hAnsi="Arial" w:cs="Arial"/>
          <w:i/>
          <w:sz w:val="20"/>
          <w:szCs w:val="20"/>
        </w:rPr>
      </w:pPr>
      <w:r w:rsidRPr="004040A5">
        <w:rPr>
          <w:rFonts w:ascii="Arial" w:hAnsi="Arial" w:cs="Arial"/>
          <w:bCs/>
          <w:sz w:val="20"/>
          <w:szCs w:val="20"/>
        </w:rPr>
        <w:t>The LLIN programme will use multiple delivery strategies to maximize coverage of insecticide treated bednets in target areas. Urban areas will be excluded except where forest cover is high, as in the CHT districts and part of Cox’s Bazar. The target coverage rate for large sized LLINs will be 1.8 people per net (in-line with WHO standards to achieve 100% coverage). As the quality of surveillance improves, the stratification will evolve to distinguish between indigenous and imported cases and thereby between endemic villages and villages where all cases are imported. Endemic villages will continue to receive periodic mass distributions, but in villages where all cases are imported, LLINs will be provided only to</w:t>
      </w:r>
      <w:r w:rsidR="00B825BB">
        <w:rPr>
          <w:rFonts w:ascii="Arial" w:hAnsi="Arial" w:cs="Arial"/>
          <w:bCs/>
          <w:sz w:val="20"/>
          <w:szCs w:val="20"/>
        </w:rPr>
        <w:t xml:space="preserve"> ensure utilization by</w:t>
      </w:r>
      <w:r w:rsidRPr="004040A5">
        <w:rPr>
          <w:rFonts w:ascii="Arial" w:hAnsi="Arial" w:cs="Arial"/>
          <w:bCs/>
          <w:sz w:val="20"/>
          <w:szCs w:val="20"/>
        </w:rPr>
        <w:t xml:space="preserve"> forest goers. The Programme will thus move away from blanket LLIN coverage and move towards increased focus to maximize cost effectiveness and sustainability. Distribution of LLINs will be coupled with locally appropriate and gender sensitive BCC to ensure community mobilization and high and correct LLIN usage. </w:t>
      </w:r>
    </w:p>
    <w:p w:rsidR="006E52A7" w:rsidRPr="004040A5" w:rsidRDefault="006E52A7" w:rsidP="00F0177D">
      <w:pPr>
        <w:tabs>
          <w:tab w:val="left" w:pos="8100"/>
        </w:tabs>
        <w:spacing w:after="120" w:line="240" w:lineRule="auto"/>
        <w:rPr>
          <w:rFonts w:ascii="Arial" w:hAnsi="Arial" w:cs="Arial"/>
          <w:i/>
          <w:sz w:val="20"/>
          <w:szCs w:val="20"/>
        </w:rPr>
      </w:pPr>
      <w:r w:rsidRPr="004040A5">
        <w:rPr>
          <w:rFonts w:ascii="Arial" w:hAnsi="Arial" w:cs="Arial"/>
          <w:i/>
          <w:sz w:val="20"/>
          <w:szCs w:val="20"/>
        </w:rPr>
        <w:t xml:space="preserve">LLIN – Mass campaign </w:t>
      </w:r>
      <w:r w:rsidRPr="00182F8D">
        <w:rPr>
          <w:rFonts w:ascii="Arial" w:hAnsi="Arial" w:cs="Arial"/>
          <w:bCs/>
          <w:sz w:val="20"/>
          <w:szCs w:val="20"/>
        </w:rPr>
        <w:t>[$X – X% of Allocation]</w:t>
      </w:r>
      <w:r w:rsidR="00F0177D" w:rsidRPr="004040A5">
        <w:rPr>
          <w:rFonts w:ascii="Arial" w:hAnsi="Arial" w:cs="Arial"/>
          <w:bCs/>
          <w:sz w:val="20"/>
          <w:szCs w:val="20"/>
        </w:rPr>
        <w:t xml:space="preserve">. </w:t>
      </w:r>
      <w:r w:rsidR="00F0177D" w:rsidRPr="00182F8D">
        <w:rPr>
          <w:rFonts w:ascii="Arial" w:hAnsi="Arial" w:cs="Arial"/>
          <w:bCs/>
          <w:sz w:val="20"/>
          <w:szCs w:val="20"/>
        </w:rPr>
        <w:t xml:space="preserve">The funding request covers: </w:t>
      </w:r>
      <w:r w:rsidR="00F0177D" w:rsidRPr="004040A5">
        <w:rPr>
          <w:rFonts w:ascii="Arial" w:hAnsi="Arial" w:cs="Arial"/>
          <w:bCs/>
          <w:sz w:val="20"/>
          <w:szCs w:val="20"/>
        </w:rPr>
        <w:t>Procurement of</w:t>
      </w:r>
      <w:r w:rsidR="00E93FA7" w:rsidRPr="004040A5">
        <w:rPr>
          <w:rFonts w:ascii="Arial" w:hAnsi="Arial" w:cs="Arial"/>
          <w:bCs/>
          <w:sz w:val="20"/>
          <w:szCs w:val="20"/>
        </w:rPr>
        <w:t xml:space="preserve"> LLINs for </w:t>
      </w:r>
      <w:r w:rsidR="00E93FA7" w:rsidRPr="004040A5">
        <w:rPr>
          <w:rFonts w:ascii="Arial" w:hAnsi="Arial" w:cs="Arial"/>
          <w:bCs/>
          <w:i/>
          <w:sz w:val="20"/>
          <w:szCs w:val="20"/>
        </w:rPr>
        <w:t>established communities</w:t>
      </w:r>
      <w:r w:rsidR="000C53D4" w:rsidRPr="004040A5">
        <w:rPr>
          <w:rFonts w:ascii="Arial" w:hAnsi="Arial" w:cs="Arial"/>
          <w:bCs/>
          <w:i/>
          <w:sz w:val="20"/>
          <w:szCs w:val="20"/>
        </w:rPr>
        <w:t xml:space="preserve"> and </w:t>
      </w:r>
      <w:r w:rsidR="000C53D4" w:rsidRPr="004040A5">
        <w:rPr>
          <w:rFonts w:ascii="Arial" w:hAnsi="Arial" w:cs="Arial"/>
          <w:sz w:val="20"/>
          <w:szCs w:val="20"/>
        </w:rPr>
        <w:t>post-campaign LLIN coverage assessments in a representative random sample of targeted sites</w:t>
      </w:r>
      <w:r w:rsidR="00F0177D" w:rsidRPr="004040A5">
        <w:rPr>
          <w:rFonts w:ascii="Arial" w:hAnsi="Arial" w:cs="Arial"/>
          <w:bCs/>
          <w:i/>
          <w:sz w:val="20"/>
          <w:szCs w:val="20"/>
        </w:rPr>
        <w:t xml:space="preserve"> [2.1.1]</w:t>
      </w:r>
      <w:r w:rsidR="000C53D4" w:rsidRPr="00182F8D">
        <w:rPr>
          <w:rFonts w:ascii="Arial" w:hAnsi="Arial" w:cs="Arial"/>
          <w:bCs/>
          <w:sz w:val="20"/>
          <w:szCs w:val="20"/>
        </w:rPr>
        <w:t>(see programmatic gap table</w:t>
      </w:r>
      <w:r w:rsidR="000C53D4" w:rsidRPr="004040A5">
        <w:rPr>
          <w:rFonts w:ascii="Arial" w:hAnsi="Arial" w:cs="Arial"/>
          <w:bCs/>
          <w:sz w:val="20"/>
          <w:szCs w:val="20"/>
        </w:rPr>
        <w:t xml:space="preserve"> for details).</w:t>
      </w:r>
    </w:p>
    <w:p w:rsidR="006E52A7" w:rsidRPr="004040A5" w:rsidRDefault="006E52A7" w:rsidP="006E52A7">
      <w:pPr>
        <w:tabs>
          <w:tab w:val="left" w:pos="8100"/>
        </w:tabs>
        <w:spacing w:after="120" w:line="240" w:lineRule="auto"/>
        <w:rPr>
          <w:rFonts w:ascii="Arial" w:hAnsi="Arial" w:cs="Arial"/>
          <w:sz w:val="20"/>
          <w:szCs w:val="20"/>
        </w:rPr>
      </w:pPr>
      <w:r w:rsidRPr="004040A5">
        <w:rPr>
          <w:rFonts w:ascii="Arial" w:hAnsi="Arial" w:cs="Arial"/>
          <w:i/>
          <w:sz w:val="20"/>
          <w:szCs w:val="20"/>
        </w:rPr>
        <w:t xml:space="preserve">LLIN – Continuous distribution </w:t>
      </w:r>
      <w:r w:rsidRPr="00182F8D">
        <w:rPr>
          <w:rFonts w:ascii="Arial" w:hAnsi="Arial" w:cs="Arial"/>
          <w:bCs/>
          <w:sz w:val="20"/>
          <w:szCs w:val="20"/>
        </w:rPr>
        <w:t>[$X – X% of Allocation]</w:t>
      </w:r>
      <w:r w:rsidR="00A82913" w:rsidRPr="004040A5">
        <w:rPr>
          <w:rFonts w:ascii="Arial" w:hAnsi="Arial" w:cs="Arial"/>
          <w:bCs/>
          <w:sz w:val="20"/>
          <w:szCs w:val="20"/>
        </w:rPr>
        <w:t xml:space="preserve">. The funding request also covers: Procurement of supplementary LLINs </w:t>
      </w:r>
      <w:r w:rsidR="00A82913" w:rsidRPr="004040A5">
        <w:rPr>
          <w:rFonts w:ascii="Arial" w:hAnsi="Arial" w:cs="Arial"/>
          <w:bCs/>
          <w:i/>
          <w:sz w:val="20"/>
          <w:szCs w:val="20"/>
        </w:rPr>
        <w:t xml:space="preserve">targeting </w:t>
      </w:r>
      <w:r w:rsidR="00E93FA7" w:rsidRPr="004040A5">
        <w:rPr>
          <w:rFonts w:ascii="Arial" w:hAnsi="Arial" w:cs="Arial"/>
          <w:bCs/>
          <w:i/>
          <w:sz w:val="20"/>
          <w:szCs w:val="20"/>
        </w:rPr>
        <w:t>use</w:t>
      </w:r>
      <w:r w:rsidR="00A82913" w:rsidRPr="004040A5">
        <w:rPr>
          <w:rFonts w:ascii="Arial" w:hAnsi="Arial" w:cs="Arial"/>
          <w:bCs/>
          <w:i/>
          <w:sz w:val="20"/>
          <w:szCs w:val="20"/>
        </w:rPr>
        <w:t>rs</w:t>
      </w:r>
      <w:r w:rsidR="00E93FA7" w:rsidRPr="004040A5">
        <w:rPr>
          <w:rFonts w:ascii="Arial" w:hAnsi="Arial" w:cs="Arial"/>
          <w:bCs/>
          <w:i/>
          <w:sz w:val="20"/>
          <w:szCs w:val="20"/>
        </w:rPr>
        <w:t xml:space="preserve"> in </w:t>
      </w:r>
      <w:r w:rsidR="00A82913" w:rsidRPr="004040A5">
        <w:rPr>
          <w:rFonts w:ascii="Arial" w:hAnsi="Arial" w:cs="Arial"/>
          <w:bCs/>
          <w:i/>
          <w:sz w:val="20"/>
          <w:szCs w:val="20"/>
        </w:rPr>
        <w:t xml:space="preserve">the </w:t>
      </w:r>
      <w:r w:rsidR="00E93FA7" w:rsidRPr="004040A5">
        <w:rPr>
          <w:rFonts w:ascii="Arial" w:hAnsi="Arial" w:cs="Arial"/>
          <w:bCs/>
          <w:i/>
          <w:sz w:val="20"/>
          <w:szCs w:val="20"/>
        </w:rPr>
        <w:t>forest</w:t>
      </w:r>
      <w:r w:rsidR="00A82913" w:rsidRPr="004040A5">
        <w:rPr>
          <w:rFonts w:ascii="Arial" w:hAnsi="Arial" w:cs="Arial"/>
          <w:bCs/>
          <w:i/>
          <w:sz w:val="20"/>
          <w:szCs w:val="20"/>
        </w:rPr>
        <w:t xml:space="preserve"> and </w:t>
      </w:r>
      <w:r w:rsidR="00E93FA7" w:rsidRPr="004040A5">
        <w:rPr>
          <w:rFonts w:ascii="Arial" w:hAnsi="Arial" w:cs="Arial"/>
          <w:bCs/>
          <w:sz w:val="20"/>
          <w:szCs w:val="20"/>
        </w:rPr>
        <w:t>forest farms</w:t>
      </w:r>
      <w:r w:rsidR="00A82913" w:rsidRPr="004040A5">
        <w:rPr>
          <w:rFonts w:ascii="Arial" w:hAnsi="Arial" w:cs="Arial"/>
          <w:bCs/>
          <w:sz w:val="20"/>
          <w:szCs w:val="20"/>
        </w:rPr>
        <w:t xml:space="preserve"> [2.1.2], pregnant</w:t>
      </w:r>
      <w:r w:rsidR="00E93FA7" w:rsidRPr="004040A5">
        <w:rPr>
          <w:rFonts w:ascii="Arial" w:hAnsi="Arial" w:cs="Arial"/>
          <w:bCs/>
          <w:sz w:val="20"/>
          <w:szCs w:val="20"/>
        </w:rPr>
        <w:t xml:space="preserve"> women</w:t>
      </w:r>
      <w:r w:rsidR="00A82913" w:rsidRPr="004040A5">
        <w:rPr>
          <w:rFonts w:ascii="Arial" w:hAnsi="Arial" w:cs="Arial"/>
          <w:bCs/>
          <w:sz w:val="20"/>
          <w:szCs w:val="20"/>
        </w:rPr>
        <w:t xml:space="preserve"> [2.1.3],</w:t>
      </w:r>
      <w:r w:rsidR="00E93FA7" w:rsidRPr="004040A5">
        <w:rPr>
          <w:rFonts w:ascii="Arial" w:hAnsi="Arial" w:cs="Arial"/>
          <w:bCs/>
          <w:sz w:val="20"/>
          <w:szCs w:val="20"/>
        </w:rPr>
        <w:t xml:space="preserve"> employers </w:t>
      </w:r>
      <w:r w:rsidR="00A82913" w:rsidRPr="004040A5">
        <w:rPr>
          <w:rFonts w:ascii="Arial" w:hAnsi="Arial" w:cs="Arial"/>
          <w:bCs/>
          <w:sz w:val="20"/>
          <w:szCs w:val="20"/>
        </w:rPr>
        <w:t>(</w:t>
      </w:r>
      <w:r w:rsidR="00E93FA7" w:rsidRPr="004040A5">
        <w:rPr>
          <w:rFonts w:ascii="Arial" w:hAnsi="Arial" w:cs="Arial"/>
          <w:bCs/>
          <w:sz w:val="20"/>
          <w:szCs w:val="20"/>
        </w:rPr>
        <w:t>for them to provide to their workers</w:t>
      </w:r>
      <w:r w:rsidR="00A82913" w:rsidRPr="004040A5">
        <w:rPr>
          <w:rFonts w:ascii="Arial" w:hAnsi="Arial" w:cs="Arial"/>
          <w:bCs/>
          <w:sz w:val="20"/>
          <w:szCs w:val="20"/>
        </w:rPr>
        <w:t xml:space="preserve">) [2.1.4], </w:t>
      </w:r>
      <w:r w:rsidR="00E93FA7" w:rsidRPr="004040A5">
        <w:rPr>
          <w:rFonts w:ascii="Arial" w:hAnsi="Arial" w:cs="Arial"/>
          <w:bCs/>
          <w:sz w:val="20"/>
          <w:szCs w:val="20"/>
        </w:rPr>
        <w:t>seasonal agricultural workers</w:t>
      </w:r>
      <w:r w:rsidR="00A82913" w:rsidRPr="004040A5">
        <w:rPr>
          <w:rFonts w:ascii="Arial" w:hAnsi="Arial" w:cs="Arial"/>
          <w:bCs/>
          <w:sz w:val="20"/>
          <w:szCs w:val="20"/>
        </w:rPr>
        <w:t xml:space="preserve"> [2.1.5], </w:t>
      </w:r>
      <w:r w:rsidR="00E93FA7" w:rsidRPr="004040A5">
        <w:rPr>
          <w:rFonts w:ascii="Arial" w:hAnsi="Arial" w:cs="Arial"/>
          <w:bCs/>
          <w:sz w:val="20"/>
          <w:szCs w:val="20"/>
        </w:rPr>
        <w:t xml:space="preserve">new </w:t>
      </w:r>
      <w:r w:rsidR="0026571F" w:rsidRPr="004040A5">
        <w:rPr>
          <w:rFonts w:ascii="Arial" w:hAnsi="Arial" w:cs="Arial"/>
          <w:bCs/>
          <w:sz w:val="20"/>
          <w:szCs w:val="20"/>
        </w:rPr>
        <w:t xml:space="preserve">settlers </w:t>
      </w:r>
      <w:r w:rsidR="00A82913" w:rsidRPr="004040A5">
        <w:rPr>
          <w:rFonts w:ascii="Arial" w:hAnsi="Arial" w:cs="Arial"/>
          <w:bCs/>
          <w:sz w:val="20"/>
          <w:szCs w:val="20"/>
        </w:rPr>
        <w:t>[2.1.6],</w:t>
      </w:r>
      <w:r w:rsidR="00E93FA7" w:rsidRPr="004040A5">
        <w:rPr>
          <w:rFonts w:ascii="Arial" w:hAnsi="Arial" w:cs="Arial"/>
          <w:bCs/>
          <w:sz w:val="20"/>
          <w:szCs w:val="20"/>
        </w:rPr>
        <w:t xml:space="preserve"> forest workers in the informal sector</w:t>
      </w:r>
      <w:r w:rsidR="00A82913" w:rsidRPr="004040A5">
        <w:rPr>
          <w:rFonts w:ascii="Arial" w:hAnsi="Arial" w:cs="Arial"/>
          <w:bCs/>
          <w:sz w:val="20"/>
          <w:szCs w:val="20"/>
        </w:rPr>
        <w:t xml:space="preserve"> [2.1.7], </w:t>
      </w:r>
      <w:r w:rsidR="00E93FA7" w:rsidRPr="004040A5">
        <w:rPr>
          <w:rFonts w:ascii="Arial" w:hAnsi="Arial" w:cs="Arial"/>
          <w:bCs/>
          <w:sz w:val="20"/>
          <w:szCs w:val="20"/>
        </w:rPr>
        <w:t>community-based healthcare providers</w:t>
      </w:r>
      <w:r w:rsidR="00A82913" w:rsidRPr="004040A5">
        <w:rPr>
          <w:rFonts w:ascii="Arial" w:hAnsi="Arial" w:cs="Arial"/>
          <w:bCs/>
          <w:sz w:val="20"/>
          <w:szCs w:val="20"/>
        </w:rPr>
        <w:t xml:space="preserve"> [2.1.8],</w:t>
      </w:r>
      <w:r w:rsidR="00E93FA7" w:rsidRPr="004040A5">
        <w:rPr>
          <w:rFonts w:ascii="Arial" w:hAnsi="Arial" w:cs="Arial"/>
          <w:bCs/>
          <w:sz w:val="20"/>
          <w:szCs w:val="20"/>
        </w:rPr>
        <w:t xml:space="preserve"> disaster</w:t>
      </w:r>
      <w:r w:rsidR="0026571F" w:rsidRPr="004040A5">
        <w:rPr>
          <w:rFonts w:ascii="Arial" w:hAnsi="Arial" w:cs="Arial"/>
          <w:bCs/>
          <w:sz w:val="20"/>
          <w:szCs w:val="20"/>
        </w:rPr>
        <w:t xml:space="preserve"> victim</w:t>
      </w:r>
      <w:r w:rsidR="00E93FA7" w:rsidRPr="004040A5">
        <w:rPr>
          <w:rFonts w:ascii="Arial" w:hAnsi="Arial" w:cs="Arial"/>
          <w:bCs/>
          <w:sz w:val="20"/>
          <w:szCs w:val="20"/>
        </w:rPr>
        <w:t xml:space="preserve">s and </w:t>
      </w:r>
      <w:r w:rsidR="0026571F" w:rsidRPr="004040A5">
        <w:rPr>
          <w:rFonts w:ascii="Arial" w:hAnsi="Arial" w:cs="Arial"/>
          <w:bCs/>
          <w:sz w:val="20"/>
          <w:szCs w:val="20"/>
        </w:rPr>
        <w:t>those affected by</w:t>
      </w:r>
      <w:r w:rsidR="00E93FA7" w:rsidRPr="004040A5">
        <w:rPr>
          <w:rFonts w:ascii="Arial" w:hAnsi="Arial" w:cs="Arial"/>
          <w:bCs/>
          <w:sz w:val="20"/>
          <w:szCs w:val="20"/>
        </w:rPr>
        <w:t xml:space="preserve"> outbreaksand transmission foci</w:t>
      </w:r>
      <w:r w:rsidR="0026571F" w:rsidRPr="004040A5">
        <w:rPr>
          <w:rFonts w:ascii="Arial" w:hAnsi="Arial" w:cs="Arial"/>
          <w:bCs/>
          <w:sz w:val="20"/>
          <w:szCs w:val="20"/>
        </w:rPr>
        <w:t xml:space="preserve"> [2.1.9]and,</w:t>
      </w:r>
      <w:r w:rsidR="00E93FA7" w:rsidRPr="004040A5">
        <w:rPr>
          <w:rFonts w:ascii="Arial" w:hAnsi="Arial" w:cs="Arial"/>
          <w:bCs/>
          <w:sz w:val="20"/>
          <w:szCs w:val="20"/>
        </w:rPr>
        <w:t xml:space="preserve"> armed forces personnel</w:t>
      </w:r>
      <w:r w:rsidR="00A82913" w:rsidRPr="004040A5">
        <w:rPr>
          <w:rFonts w:ascii="Arial" w:hAnsi="Arial" w:cs="Arial"/>
          <w:bCs/>
          <w:sz w:val="20"/>
          <w:szCs w:val="20"/>
        </w:rPr>
        <w:t xml:space="preserve"> [2.1.10]</w:t>
      </w:r>
      <w:r w:rsidR="000C53D4" w:rsidRPr="004040A5">
        <w:rPr>
          <w:rFonts w:ascii="Arial" w:hAnsi="Arial" w:cs="Arial"/>
          <w:bCs/>
          <w:sz w:val="20"/>
          <w:szCs w:val="20"/>
        </w:rPr>
        <w:t xml:space="preserve"> (see programmatic gap table for details).</w:t>
      </w:r>
    </w:p>
    <w:p w:rsidR="00F34AE3" w:rsidRPr="004040A5" w:rsidRDefault="00F34AE3" w:rsidP="00F34AE3">
      <w:pPr>
        <w:tabs>
          <w:tab w:val="left" w:pos="8100"/>
        </w:tabs>
        <w:spacing w:after="120" w:line="240" w:lineRule="auto"/>
        <w:rPr>
          <w:rFonts w:ascii="Arial" w:hAnsi="Arial" w:cs="Arial"/>
          <w:i/>
          <w:sz w:val="20"/>
          <w:szCs w:val="20"/>
        </w:rPr>
      </w:pPr>
      <w:r w:rsidRPr="004040A5">
        <w:rPr>
          <w:rFonts w:ascii="Arial" w:hAnsi="Arial" w:cs="Arial"/>
          <w:i/>
          <w:sz w:val="20"/>
          <w:szCs w:val="20"/>
        </w:rPr>
        <w:t>Indoor residual spaying (IRS)</w:t>
      </w:r>
      <w:r w:rsidR="006E52A7" w:rsidRPr="00182F8D">
        <w:rPr>
          <w:rFonts w:ascii="Arial" w:hAnsi="Arial" w:cs="Arial"/>
          <w:bCs/>
          <w:sz w:val="20"/>
          <w:szCs w:val="20"/>
        </w:rPr>
        <w:t>[$</w:t>
      </w:r>
      <w:r w:rsidR="006E52A7" w:rsidRPr="004040A5">
        <w:rPr>
          <w:rFonts w:ascii="Arial" w:hAnsi="Arial" w:cs="Arial"/>
          <w:bCs/>
          <w:sz w:val="20"/>
          <w:szCs w:val="20"/>
        </w:rPr>
        <w:t>X – X% of Allocation]</w:t>
      </w:r>
      <w:r w:rsidR="00295088" w:rsidRPr="004040A5">
        <w:rPr>
          <w:rFonts w:ascii="Arial" w:hAnsi="Arial" w:cs="Arial"/>
          <w:bCs/>
          <w:sz w:val="20"/>
          <w:szCs w:val="20"/>
        </w:rPr>
        <w:t>. The funding request covers: Support for</w:t>
      </w:r>
      <w:r w:rsidR="00E93FA7" w:rsidRPr="004040A5">
        <w:rPr>
          <w:rFonts w:ascii="Arial" w:hAnsi="Arial" w:cs="Arial"/>
          <w:bCs/>
          <w:sz w:val="20"/>
          <w:szCs w:val="20"/>
        </w:rPr>
        <w:t xml:space="preserve"> focal responsive IRS as appropriate</w:t>
      </w:r>
      <w:r w:rsidR="00295088" w:rsidRPr="004040A5">
        <w:rPr>
          <w:rFonts w:ascii="Arial" w:hAnsi="Arial" w:cs="Arial"/>
          <w:bCs/>
          <w:sz w:val="20"/>
          <w:szCs w:val="20"/>
        </w:rPr>
        <w:t xml:space="preserve"> [2.2] including </w:t>
      </w:r>
      <w:r w:rsidR="00295088" w:rsidRPr="004040A5">
        <w:rPr>
          <w:rFonts w:ascii="Arial" w:hAnsi="Arial" w:cs="Arial"/>
          <w:sz w:val="20"/>
          <w:szCs w:val="20"/>
        </w:rPr>
        <w:t>training of NMEP staff on geographical reconnaissance and IRS, training of IRS teams (spray-men and squad leaders)</w:t>
      </w:r>
      <w:r w:rsidR="00DE7524" w:rsidRPr="004040A5">
        <w:rPr>
          <w:rFonts w:ascii="Arial" w:hAnsi="Arial" w:cs="Arial"/>
          <w:sz w:val="20"/>
          <w:szCs w:val="20"/>
        </w:rPr>
        <w:t xml:space="preserve">, </w:t>
      </w:r>
      <w:r w:rsidR="00295088" w:rsidRPr="004040A5">
        <w:rPr>
          <w:rFonts w:ascii="Arial" w:hAnsi="Arial" w:cs="Arial"/>
          <w:sz w:val="20"/>
          <w:szCs w:val="20"/>
        </w:rPr>
        <w:t>operational costs for IRS</w:t>
      </w:r>
      <w:r w:rsidR="00DE7524" w:rsidRPr="004040A5">
        <w:rPr>
          <w:rFonts w:ascii="Arial" w:hAnsi="Arial" w:cs="Arial"/>
          <w:bCs/>
          <w:sz w:val="20"/>
          <w:szCs w:val="20"/>
        </w:rPr>
        <w:t>, and, m</w:t>
      </w:r>
      <w:r w:rsidR="00DE7524" w:rsidRPr="004040A5">
        <w:rPr>
          <w:rFonts w:ascii="Arial" w:hAnsi="Arial" w:cs="Arial"/>
          <w:sz w:val="20"/>
          <w:szCs w:val="20"/>
        </w:rPr>
        <w:t>onitoring the coverage and quality of IRS operations.</w:t>
      </w:r>
      <w:r w:rsidR="00E93FA7" w:rsidRPr="004040A5">
        <w:rPr>
          <w:rFonts w:ascii="Arial" w:hAnsi="Arial" w:cs="Arial"/>
          <w:bCs/>
          <w:sz w:val="20"/>
          <w:szCs w:val="20"/>
        </w:rPr>
        <w:tab/>
      </w:r>
    </w:p>
    <w:p w:rsidR="00F34AE3" w:rsidRPr="004040A5" w:rsidRDefault="00F34AE3" w:rsidP="00F34AE3">
      <w:pPr>
        <w:tabs>
          <w:tab w:val="left" w:pos="8100"/>
        </w:tabs>
        <w:spacing w:after="120" w:line="240" w:lineRule="auto"/>
        <w:rPr>
          <w:rFonts w:ascii="Arial" w:hAnsi="Arial" w:cs="Arial"/>
          <w:i/>
          <w:sz w:val="20"/>
          <w:szCs w:val="20"/>
        </w:rPr>
      </w:pPr>
      <w:r w:rsidRPr="004040A5">
        <w:rPr>
          <w:rFonts w:ascii="Arial" w:hAnsi="Arial" w:cs="Arial"/>
          <w:i/>
          <w:sz w:val="20"/>
          <w:szCs w:val="20"/>
        </w:rPr>
        <w:lastRenderedPageBreak/>
        <w:t xml:space="preserve">Other vector control measures </w:t>
      </w:r>
      <w:r w:rsidRPr="00182F8D">
        <w:rPr>
          <w:rFonts w:ascii="Arial" w:hAnsi="Arial" w:cs="Arial"/>
          <w:bCs/>
          <w:sz w:val="20"/>
          <w:szCs w:val="20"/>
        </w:rPr>
        <w:t>[$</w:t>
      </w:r>
      <w:r w:rsidRPr="004040A5">
        <w:rPr>
          <w:rFonts w:ascii="Arial" w:hAnsi="Arial" w:cs="Arial"/>
          <w:bCs/>
          <w:sz w:val="20"/>
          <w:szCs w:val="20"/>
        </w:rPr>
        <w:t>X – X% of Allocation]</w:t>
      </w:r>
      <w:r w:rsidR="00295088" w:rsidRPr="004040A5">
        <w:rPr>
          <w:rFonts w:ascii="Arial" w:hAnsi="Arial" w:cs="Arial"/>
          <w:bCs/>
          <w:sz w:val="20"/>
          <w:szCs w:val="20"/>
        </w:rPr>
        <w:t>. The funding request covers: N</w:t>
      </w:r>
      <w:r w:rsidR="00E93FA7" w:rsidRPr="004040A5">
        <w:rPr>
          <w:rFonts w:ascii="Arial" w:hAnsi="Arial" w:cs="Arial"/>
          <w:bCs/>
          <w:sz w:val="20"/>
          <w:szCs w:val="20"/>
        </w:rPr>
        <w:t xml:space="preserve">ovel vector control and personal protection measures </w:t>
      </w:r>
      <w:r w:rsidR="00295088" w:rsidRPr="004040A5">
        <w:rPr>
          <w:rFonts w:ascii="Arial" w:hAnsi="Arial" w:cs="Arial"/>
          <w:bCs/>
          <w:sz w:val="20"/>
          <w:szCs w:val="20"/>
        </w:rPr>
        <w:t xml:space="preserve">in the form of </w:t>
      </w:r>
      <w:r w:rsidR="00295088" w:rsidRPr="004040A5">
        <w:rPr>
          <w:rFonts w:ascii="Arial" w:hAnsi="Arial" w:cs="Arial"/>
          <w:sz w:val="20"/>
          <w:szCs w:val="20"/>
        </w:rPr>
        <w:t xml:space="preserve">procurement of mosquito repellents to prevent outdoor transmission </w:t>
      </w:r>
      <w:r w:rsidR="00295088" w:rsidRPr="004040A5">
        <w:rPr>
          <w:rFonts w:ascii="Arial" w:hAnsi="Arial" w:cs="Arial"/>
          <w:bCs/>
          <w:sz w:val="20"/>
          <w:szCs w:val="20"/>
        </w:rPr>
        <w:t>[2.4]</w:t>
      </w:r>
      <w:r w:rsidR="00E93FA7" w:rsidRPr="004040A5">
        <w:rPr>
          <w:rFonts w:ascii="Arial" w:hAnsi="Arial" w:cs="Arial"/>
          <w:bCs/>
          <w:sz w:val="20"/>
          <w:szCs w:val="20"/>
        </w:rPr>
        <w:t>.</w:t>
      </w:r>
    </w:p>
    <w:p w:rsidR="00F34AE3" w:rsidRPr="004040A5" w:rsidRDefault="00F34AE3" w:rsidP="004040A5">
      <w:pPr>
        <w:tabs>
          <w:tab w:val="left" w:pos="8100"/>
        </w:tabs>
        <w:spacing w:after="120" w:line="240" w:lineRule="auto"/>
        <w:rPr>
          <w:rFonts w:ascii="Arial" w:hAnsi="Arial" w:cs="Arial"/>
          <w:bCs/>
          <w:sz w:val="20"/>
          <w:szCs w:val="20"/>
          <w:u w:val="single"/>
        </w:rPr>
      </w:pPr>
      <w:r w:rsidRPr="004040A5">
        <w:rPr>
          <w:rFonts w:ascii="Arial" w:hAnsi="Arial" w:cs="Arial"/>
          <w:i/>
          <w:sz w:val="20"/>
          <w:szCs w:val="20"/>
        </w:rPr>
        <w:t xml:space="preserve">Entomological monitoring </w:t>
      </w:r>
      <w:r w:rsidRPr="00182F8D">
        <w:rPr>
          <w:rFonts w:ascii="Arial" w:hAnsi="Arial" w:cs="Arial"/>
          <w:bCs/>
          <w:sz w:val="20"/>
          <w:szCs w:val="20"/>
        </w:rPr>
        <w:t>[$</w:t>
      </w:r>
      <w:r w:rsidRPr="004040A5">
        <w:rPr>
          <w:rFonts w:ascii="Arial" w:hAnsi="Arial" w:cs="Arial"/>
          <w:bCs/>
          <w:sz w:val="20"/>
          <w:szCs w:val="20"/>
        </w:rPr>
        <w:t>X – X% of Allocation]</w:t>
      </w:r>
      <w:r w:rsidR="00295088" w:rsidRPr="004040A5">
        <w:rPr>
          <w:rFonts w:ascii="Arial" w:hAnsi="Arial" w:cs="Arial"/>
          <w:bCs/>
          <w:sz w:val="20"/>
          <w:szCs w:val="20"/>
        </w:rPr>
        <w:t xml:space="preserve">. </w:t>
      </w:r>
      <w:r w:rsidR="009A1EA5" w:rsidRPr="004040A5">
        <w:rPr>
          <w:rFonts w:ascii="Arial" w:hAnsi="Arial" w:cs="Arial"/>
          <w:bCs/>
          <w:sz w:val="20"/>
          <w:szCs w:val="20"/>
        </w:rPr>
        <w:t>In-line with the recommendations of the last two programme reviews, t</w:t>
      </w:r>
      <w:r w:rsidR="00295088" w:rsidRPr="004040A5">
        <w:rPr>
          <w:rFonts w:ascii="Arial" w:hAnsi="Arial" w:cs="Arial"/>
          <w:bCs/>
          <w:sz w:val="20"/>
          <w:szCs w:val="20"/>
        </w:rPr>
        <w:t>he funding request covers</w:t>
      </w:r>
      <w:r w:rsidR="009A1EA5" w:rsidRPr="004040A5">
        <w:rPr>
          <w:rFonts w:ascii="Arial" w:hAnsi="Arial" w:cs="Arial"/>
          <w:bCs/>
          <w:sz w:val="20"/>
          <w:szCs w:val="20"/>
        </w:rPr>
        <w:t xml:space="preserve"> extensive support to revitalize i</w:t>
      </w:r>
      <w:r w:rsidRPr="004040A5">
        <w:rPr>
          <w:rFonts w:ascii="Arial" w:hAnsi="Arial" w:cs="Arial"/>
          <w:bCs/>
          <w:sz w:val="20"/>
          <w:szCs w:val="20"/>
        </w:rPr>
        <w:t>nsecticide resistance monitoring and entomological surveillance</w:t>
      </w:r>
      <w:r w:rsidR="009A1EA5" w:rsidRPr="004040A5">
        <w:rPr>
          <w:rFonts w:ascii="Arial" w:hAnsi="Arial" w:cs="Arial"/>
          <w:bCs/>
          <w:sz w:val="20"/>
          <w:szCs w:val="20"/>
        </w:rPr>
        <w:t xml:space="preserve"> [3.14] including: </w:t>
      </w:r>
      <w:r w:rsidR="009A1EA5" w:rsidRPr="004040A5">
        <w:rPr>
          <w:rFonts w:ascii="Arial" w:hAnsi="Arial" w:cs="Arial"/>
          <w:sz w:val="20"/>
          <w:szCs w:val="20"/>
        </w:rPr>
        <w:t xml:space="preserve">Set-up, running and maintenance costs for three insectaries; training on malaria entomology at central level and in selected districts for entomologists and technicians; Monitoring of insecticide resistance in sentinel sites; Longitudinal surveys of vector distribution, abundance and bionomics; Vector incrimination surveys in 3 sentinel sites; Monitoring the durability of LLIN and the residual efficacy of their insecticide; </w:t>
      </w:r>
      <w:r w:rsidR="001C4565" w:rsidRPr="004040A5">
        <w:rPr>
          <w:rFonts w:ascii="Arial" w:hAnsi="Arial" w:cs="Arial"/>
          <w:sz w:val="20"/>
          <w:szCs w:val="20"/>
        </w:rPr>
        <w:t>and, LLIN utilisation survey in different risk populations.</w:t>
      </w:r>
    </w:p>
    <w:p w:rsidR="00F34AE3" w:rsidRPr="004040A5" w:rsidRDefault="00023916" w:rsidP="00CF08AE">
      <w:pPr>
        <w:spacing w:before="120" w:after="110" w:line="240" w:lineRule="auto"/>
        <w:rPr>
          <w:rFonts w:ascii="Arial" w:hAnsi="Arial" w:cs="Arial"/>
          <w:b/>
          <w:bCs/>
          <w:sz w:val="20"/>
          <w:szCs w:val="20"/>
          <w:u w:val="single"/>
        </w:rPr>
      </w:pPr>
      <w:r w:rsidRPr="004040A5">
        <w:rPr>
          <w:rFonts w:ascii="Arial" w:hAnsi="Arial" w:cs="Arial"/>
          <w:b/>
          <w:sz w:val="20"/>
          <w:szCs w:val="20"/>
          <w:u w:val="single"/>
        </w:rPr>
        <w:t xml:space="preserve">Module 3 - </w:t>
      </w:r>
      <w:r w:rsidR="00F34AE3" w:rsidRPr="004040A5">
        <w:rPr>
          <w:rFonts w:ascii="Arial" w:hAnsi="Arial" w:cs="Arial"/>
          <w:b/>
          <w:sz w:val="20"/>
          <w:szCs w:val="20"/>
          <w:u w:val="single"/>
        </w:rPr>
        <w:t>HSS - Health information systems and M&amp;E</w:t>
      </w:r>
    </w:p>
    <w:p w:rsidR="00E93FA7" w:rsidRPr="004040A5" w:rsidRDefault="00E93FA7" w:rsidP="00CF08AE">
      <w:pPr>
        <w:spacing w:before="120" w:after="110" w:line="240" w:lineRule="auto"/>
        <w:rPr>
          <w:rFonts w:ascii="Arial" w:hAnsi="Arial" w:cs="Arial"/>
          <w:bCs/>
          <w:sz w:val="20"/>
          <w:szCs w:val="20"/>
          <w:lang w:val="en-US"/>
        </w:rPr>
      </w:pPr>
      <w:r w:rsidRPr="00182F8D">
        <w:rPr>
          <w:rFonts w:ascii="Arial" w:hAnsi="Arial" w:cs="Arial"/>
          <w:bCs/>
          <w:sz w:val="20"/>
          <w:szCs w:val="20"/>
          <w:lang w:val="en-US"/>
        </w:rPr>
        <w:t>For districts in the transmission reduction phase, the basic sy</w:t>
      </w:r>
      <w:r w:rsidRPr="004040A5">
        <w:rPr>
          <w:rFonts w:ascii="Arial" w:hAnsi="Arial" w:cs="Arial"/>
          <w:bCs/>
          <w:sz w:val="20"/>
          <w:szCs w:val="20"/>
          <w:lang w:val="en-US"/>
        </w:rPr>
        <w:t xml:space="preserve">stem of surveillance, which involves monthly reporting supplemented by outbreak monitoring, will be maintained and strengthened where necessary.For districts in the elimination phase, standard surveillance will be replaced with ‘case-based’ surveillance whereby effectively every case is treated as an outbreak. </w:t>
      </w:r>
    </w:p>
    <w:p w:rsidR="00E93FA7" w:rsidRPr="004040A5" w:rsidRDefault="00E93FA7" w:rsidP="00CF08AE">
      <w:pPr>
        <w:spacing w:before="120" w:after="110" w:line="240" w:lineRule="auto"/>
        <w:rPr>
          <w:rFonts w:ascii="Arial" w:hAnsi="Arial" w:cs="Arial"/>
          <w:bCs/>
          <w:sz w:val="20"/>
          <w:szCs w:val="20"/>
          <w:lang w:val="en-US"/>
        </w:rPr>
      </w:pPr>
      <w:r w:rsidRPr="004040A5">
        <w:rPr>
          <w:rFonts w:ascii="Arial" w:hAnsi="Arial" w:cs="Arial"/>
          <w:bCs/>
          <w:sz w:val="20"/>
          <w:szCs w:val="20"/>
          <w:lang w:val="en-US"/>
        </w:rPr>
        <w:t xml:space="preserve">An expert review will be undertaken in association with MoHFW in </w:t>
      </w:r>
      <w:r w:rsidR="00827D4F" w:rsidRPr="004040A5">
        <w:rPr>
          <w:rFonts w:ascii="Arial" w:hAnsi="Arial" w:cs="Arial"/>
          <w:bCs/>
          <w:sz w:val="20"/>
          <w:szCs w:val="20"/>
          <w:lang w:val="en-US"/>
        </w:rPr>
        <w:t xml:space="preserve">2018 </w:t>
      </w:r>
      <w:r w:rsidRPr="004040A5">
        <w:rPr>
          <w:rFonts w:ascii="Arial" w:hAnsi="Arial" w:cs="Arial"/>
          <w:bCs/>
          <w:sz w:val="20"/>
          <w:szCs w:val="20"/>
          <w:lang w:val="en-US"/>
        </w:rPr>
        <w:t xml:space="preserve">to prepare a roadmap for the development of an elimination-specific case-based reporting system.  The review report will define the new system’s relationship to the MoHFW’s HIS, identify data aggregation levels and clearly articulate how data will be used for decision-making. </w:t>
      </w:r>
    </w:p>
    <w:p w:rsidR="00E93FA7" w:rsidRPr="004040A5" w:rsidRDefault="00E93FA7" w:rsidP="00CF08AE">
      <w:pPr>
        <w:spacing w:before="120" w:after="110" w:line="240" w:lineRule="auto"/>
        <w:rPr>
          <w:rFonts w:ascii="Arial" w:hAnsi="Arial" w:cs="Arial"/>
          <w:bCs/>
          <w:sz w:val="20"/>
          <w:szCs w:val="20"/>
        </w:rPr>
      </w:pPr>
      <w:r w:rsidRPr="004040A5">
        <w:rPr>
          <w:rFonts w:ascii="Arial" w:hAnsi="Arial" w:cs="Arial"/>
          <w:bCs/>
          <w:sz w:val="20"/>
          <w:szCs w:val="20"/>
        </w:rPr>
        <w:t xml:space="preserve">Essentially similar strategies will be used to investigate suspected outbreaks and suspected transmission foci. Essentially similar strategies will also be used to deal with confirmed outbreaks and confirmed transmission foci. </w:t>
      </w:r>
    </w:p>
    <w:p w:rsidR="00E93FA7" w:rsidRPr="004040A5" w:rsidRDefault="00E93FA7" w:rsidP="00CF08AE">
      <w:pPr>
        <w:spacing w:before="120" w:after="110" w:line="240" w:lineRule="auto"/>
        <w:rPr>
          <w:rFonts w:ascii="Arial" w:hAnsi="Arial" w:cs="Arial"/>
          <w:bCs/>
          <w:sz w:val="20"/>
          <w:szCs w:val="20"/>
        </w:rPr>
      </w:pPr>
      <w:r w:rsidRPr="004040A5">
        <w:rPr>
          <w:rFonts w:ascii="Arial" w:hAnsi="Arial" w:cs="Arial"/>
          <w:bCs/>
          <w:sz w:val="20"/>
          <w:szCs w:val="20"/>
        </w:rPr>
        <w:t>I</w:t>
      </w:r>
      <w:r w:rsidRPr="004040A5">
        <w:rPr>
          <w:rFonts w:ascii="Arial" w:hAnsi="Arial" w:cs="Arial"/>
          <w:bCs/>
          <w:sz w:val="20"/>
          <w:szCs w:val="20"/>
          <w:lang w:val="en-US"/>
        </w:rPr>
        <w:t xml:space="preserve">n-line with guidance from the </w:t>
      </w:r>
      <w:r w:rsidRPr="004040A5">
        <w:rPr>
          <w:rFonts w:ascii="Arial" w:hAnsi="Arial" w:cs="Arial"/>
          <w:bCs/>
          <w:sz w:val="20"/>
          <w:szCs w:val="20"/>
        </w:rPr>
        <w:t>‘</w:t>
      </w:r>
      <w:r w:rsidRPr="00182F8D">
        <w:rPr>
          <w:rFonts w:ascii="Arial" w:hAnsi="Arial" w:cs="Arial"/>
          <w:bCs/>
          <w:sz w:val="20"/>
          <w:szCs w:val="20"/>
        </w:rPr>
        <w:t>Strategy for Malaria Elimination in the South East Asia Region (2016–2030)’</w:t>
      </w:r>
      <w:r w:rsidRPr="004040A5">
        <w:rPr>
          <w:rFonts w:ascii="Arial" w:hAnsi="Arial" w:cs="Arial"/>
          <w:bCs/>
          <w:sz w:val="20"/>
          <w:szCs w:val="20"/>
          <w:lang w:val="en-US"/>
        </w:rPr>
        <w:t xml:space="preserve">, malaria related surveillance and response mechanisms will be integrated into the broader health sector approach. Malaria response efforts will be implemented by the Rapid Response Teams (RRTs) (also associated with other epidemic prone diseases). </w:t>
      </w:r>
    </w:p>
    <w:p w:rsidR="00E93FA7" w:rsidRPr="004040A5" w:rsidRDefault="00F34AE3" w:rsidP="004040A5">
      <w:pPr>
        <w:tabs>
          <w:tab w:val="left" w:pos="8100"/>
        </w:tabs>
        <w:spacing w:after="120" w:line="240" w:lineRule="auto"/>
        <w:rPr>
          <w:rFonts w:ascii="Arial" w:hAnsi="Arial" w:cs="Arial"/>
          <w:bCs/>
          <w:sz w:val="20"/>
          <w:szCs w:val="20"/>
        </w:rPr>
      </w:pPr>
      <w:r w:rsidRPr="004040A5">
        <w:rPr>
          <w:rFonts w:ascii="Arial" w:hAnsi="Arial" w:cs="Arial"/>
          <w:i/>
          <w:sz w:val="20"/>
          <w:szCs w:val="20"/>
        </w:rPr>
        <w:t xml:space="preserve">Routine reporting </w:t>
      </w:r>
      <w:r w:rsidRPr="00182F8D">
        <w:rPr>
          <w:rFonts w:ascii="Arial" w:hAnsi="Arial" w:cs="Arial"/>
          <w:bCs/>
          <w:sz w:val="20"/>
          <w:szCs w:val="20"/>
        </w:rPr>
        <w:t>[$</w:t>
      </w:r>
      <w:r w:rsidRPr="004040A5">
        <w:rPr>
          <w:rFonts w:ascii="Arial" w:hAnsi="Arial" w:cs="Arial"/>
          <w:bCs/>
          <w:sz w:val="20"/>
          <w:szCs w:val="20"/>
        </w:rPr>
        <w:t>X – X% of Allocation]</w:t>
      </w:r>
      <w:r w:rsidR="00DE7524" w:rsidRPr="004040A5">
        <w:rPr>
          <w:rFonts w:ascii="Arial" w:hAnsi="Arial" w:cs="Arial"/>
          <w:bCs/>
          <w:sz w:val="20"/>
          <w:szCs w:val="20"/>
        </w:rPr>
        <w:t>. The funding request covers</w:t>
      </w:r>
      <w:r w:rsidR="005D36CC" w:rsidRPr="004040A5">
        <w:rPr>
          <w:rFonts w:ascii="Arial" w:hAnsi="Arial" w:cs="Arial"/>
          <w:bCs/>
          <w:sz w:val="20"/>
          <w:szCs w:val="20"/>
        </w:rPr>
        <w:t>ex</w:t>
      </w:r>
      <w:r w:rsidR="00E93FA7" w:rsidRPr="004040A5">
        <w:rPr>
          <w:rFonts w:ascii="Arial" w:hAnsi="Arial" w:cs="Arial"/>
          <w:bCs/>
          <w:sz w:val="20"/>
          <w:szCs w:val="20"/>
        </w:rPr>
        <w:t>pan</w:t>
      </w:r>
      <w:r w:rsidR="00DE7524" w:rsidRPr="004040A5">
        <w:rPr>
          <w:rFonts w:ascii="Arial" w:hAnsi="Arial" w:cs="Arial"/>
          <w:bCs/>
          <w:sz w:val="20"/>
          <w:szCs w:val="20"/>
        </w:rPr>
        <w:t>ding</w:t>
      </w:r>
      <w:r w:rsidR="00E93FA7" w:rsidRPr="004040A5">
        <w:rPr>
          <w:rFonts w:ascii="Arial" w:hAnsi="Arial" w:cs="Arial"/>
          <w:bCs/>
          <w:sz w:val="20"/>
          <w:szCs w:val="20"/>
        </w:rPr>
        <w:t xml:space="preserve">, </w:t>
      </w:r>
      <w:r w:rsidR="00DE7524" w:rsidRPr="004040A5">
        <w:rPr>
          <w:rFonts w:ascii="Arial" w:hAnsi="Arial" w:cs="Arial"/>
          <w:bCs/>
          <w:sz w:val="20"/>
          <w:szCs w:val="20"/>
        </w:rPr>
        <w:t xml:space="preserve">modernizing </w:t>
      </w:r>
      <w:r w:rsidR="00E93FA7" w:rsidRPr="004040A5">
        <w:rPr>
          <w:rFonts w:ascii="Arial" w:hAnsi="Arial" w:cs="Arial"/>
          <w:bCs/>
          <w:sz w:val="20"/>
          <w:szCs w:val="20"/>
        </w:rPr>
        <w:t>and strengthen</w:t>
      </w:r>
      <w:r w:rsidR="00DE7524" w:rsidRPr="004040A5">
        <w:rPr>
          <w:rFonts w:ascii="Arial" w:hAnsi="Arial" w:cs="Arial"/>
          <w:bCs/>
          <w:sz w:val="20"/>
          <w:szCs w:val="20"/>
        </w:rPr>
        <w:t>ing</w:t>
      </w:r>
      <w:r w:rsidR="00E93FA7" w:rsidRPr="004040A5">
        <w:rPr>
          <w:rFonts w:ascii="Arial" w:hAnsi="Arial" w:cs="Arial"/>
          <w:bCs/>
          <w:sz w:val="20"/>
          <w:szCs w:val="20"/>
        </w:rPr>
        <w:t xml:space="preserve"> the malaria information system</w:t>
      </w:r>
      <w:r w:rsidR="009A736D" w:rsidRPr="004040A5">
        <w:rPr>
          <w:rFonts w:ascii="Arial" w:hAnsi="Arial" w:cs="Arial"/>
          <w:bCs/>
          <w:sz w:val="20"/>
          <w:szCs w:val="20"/>
        </w:rPr>
        <w:t>through support for:</w:t>
      </w:r>
      <w:r w:rsidR="00324900" w:rsidRPr="004040A5">
        <w:rPr>
          <w:rFonts w:ascii="Arial" w:hAnsi="Arial" w:cs="Arial"/>
          <w:sz w:val="20"/>
          <w:szCs w:val="20"/>
        </w:rPr>
        <w:t xml:space="preserve">Upgrading the information system; </w:t>
      </w:r>
      <w:r w:rsidR="00DE7524" w:rsidRPr="004040A5">
        <w:rPr>
          <w:rFonts w:ascii="Arial" w:hAnsi="Arial" w:cs="Arial"/>
          <w:sz w:val="20"/>
          <w:szCs w:val="20"/>
        </w:rPr>
        <w:t>expanding the reporting system</w:t>
      </w:r>
      <w:r w:rsidR="009A736D" w:rsidRPr="004040A5">
        <w:rPr>
          <w:rFonts w:ascii="Arial" w:hAnsi="Arial" w:cs="Arial"/>
          <w:sz w:val="20"/>
          <w:szCs w:val="20"/>
        </w:rPr>
        <w:t>;t</w:t>
      </w:r>
      <w:r w:rsidR="00DE7524" w:rsidRPr="004040A5">
        <w:rPr>
          <w:rFonts w:ascii="Arial" w:hAnsi="Arial" w:cs="Arial"/>
          <w:sz w:val="20"/>
          <w:szCs w:val="20"/>
        </w:rPr>
        <w:t xml:space="preserve">echnical support for </w:t>
      </w:r>
      <w:r w:rsidR="009A736D" w:rsidRPr="004040A5">
        <w:rPr>
          <w:rFonts w:ascii="Arial" w:hAnsi="Arial" w:cs="Arial"/>
          <w:sz w:val="20"/>
          <w:szCs w:val="20"/>
        </w:rPr>
        <w:t xml:space="preserve">a </w:t>
      </w:r>
      <w:r w:rsidR="00DE7524" w:rsidRPr="004040A5">
        <w:rPr>
          <w:rFonts w:ascii="Arial" w:hAnsi="Arial" w:cs="Arial"/>
          <w:sz w:val="20"/>
          <w:szCs w:val="20"/>
        </w:rPr>
        <w:t>computerised malaria elimination database</w:t>
      </w:r>
      <w:r w:rsidR="009A736D" w:rsidRPr="004040A5">
        <w:rPr>
          <w:rFonts w:ascii="Arial" w:hAnsi="Arial" w:cs="Arial"/>
          <w:sz w:val="20"/>
          <w:szCs w:val="20"/>
        </w:rPr>
        <w:t xml:space="preserve">;training on database, </w:t>
      </w:r>
      <w:r w:rsidR="00DE7524" w:rsidRPr="004040A5">
        <w:rPr>
          <w:rFonts w:ascii="Arial" w:hAnsi="Arial" w:cs="Arial"/>
          <w:sz w:val="20"/>
          <w:szCs w:val="20"/>
        </w:rPr>
        <w:t>data entry and analysis</w:t>
      </w:r>
      <w:r w:rsidR="005D36CC" w:rsidRPr="004040A5">
        <w:rPr>
          <w:rFonts w:ascii="Arial" w:hAnsi="Arial" w:cs="Arial"/>
          <w:sz w:val="20"/>
          <w:szCs w:val="20"/>
        </w:rPr>
        <w:t xml:space="preserve"> as well as the (logistics management information system)</w:t>
      </w:r>
      <w:r w:rsidR="00DE7524" w:rsidRPr="004040A5">
        <w:rPr>
          <w:rFonts w:ascii="Arial" w:hAnsi="Arial" w:cs="Arial"/>
          <w:sz w:val="20"/>
          <w:szCs w:val="20"/>
        </w:rPr>
        <w:t xml:space="preserve"> at central </w:t>
      </w:r>
      <w:r w:rsidR="009A736D" w:rsidRPr="004040A5">
        <w:rPr>
          <w:rFonts w:ascii="Arial" w:hAnsi="Arial" w:cs="Arial"/>
          <w:sz w:val="20"/>
          <w:szCs w:val="20"/>
        </w:rPr>
        <w:t xml:space="preserve">and peripheral </w:t>
      </w:r>
      <w:r w:rsidR="00DE7524" w:rsidRPr="004040A5">
        <w:rPr>
          <w:rFonts w:ascii="Arial" w:hAnsi="Arial" w:cs="Arial"/>
          <w:sz w:val="20"/>
          <w:szCs w:val="20"/>
        </w:rPr>
        <w:t>level</w:t>
      </w:r>
      <w:r w:rsidR="009A736D" w:rsidRPr="004040A5">
        <w:rPr>
          <w:rFonts w:ascii="Arial" w:hAnsi="Arial" w:cs="Arial"/>
          <w:sz w:val="20"/>
          <w:szCs w:val="20"/>
        </w:rPr>
        <w:t>s</w:t>
      </w:r>
      <w:r w:rsidR="006E5CE2" w:rsidRPr="004040A5">
        <w:rPr>
          <w:rFonts w:ascii="Arial" w:hAnsi="Arial" w:cs="Arial"/>
          <w:sz w:val="20"/>
          <w:szCs w:val="20"/>
        </w:rPr>
        <w:t xml:space="preserve"> [3.1 and SE2.11]; and, technical assistance to support strengthening of stratification and migrant and mobile population mapping [SE2.2.2]</w:t>
      </w:r>
      <w:r w:rsidR="009A736D" w:rsidRPr="004040A5">
        <w:rPr>
          <w:rFonts w:ascii="Arial" w:hAnsi="Arial" w:cs="Arial"/>
          <w:sz w:val="20"/>
          <w:szCs w:val="20"/>
        </w:rPr>
        <w:t xml:space="preserve">. </w:t>
      </w:r>
    </w:p>
    <w:p w:rsidR="00EC674A" w:rsidRPr="004040A5" w:rsidRDefault="00EC674A" w:rsidP="004040A5">
      <w:pPr>
        <w:tabs>
          <w:tab w:val="left" w:pos="8100"/>
        </w:tabs>
        <w:spacing w:after="120" w:line="240" w:lineRule="auto"/>
        <w:rPr>
          <w:rFonts w:ascii="Arial" w:hAnsi="Arial" w:cs="Arial"/>
          <w:bCs/>
          <w:sz w:val="20"/>
          <w:szCs w:val="20"/>
        </w:rPr>
      </w:pPr>
      <w:r w:rsidRPr="004040A5">
        <w:rPr>
          <w:rFonts w:ascii="Arial" w:hAnsi="Arial" w:cs="Arial"/>
          <w:i/>
          <w:sz w:val="20"/>
          <w:szCs w:val="20"/>
        </w:rPr>
        <w:t xml:space="preserve">Analysis, review and transparency </w:t>
      </w:r>
      <w:r w:rsidRPr="00182F8D">
        <w:rPr>
          <w:rFonts w:ascii="Arial" w:hAnsi="Arial" w:cs="Arial"/>
          <w:bCs/>
          <w:sz w:val="20"/>
          <w:szCs w:val="20"/>
        </w:rPr>
        <w:t>[$</w:t>
      </w:r>
      <w:r w:rsidRPr="004040A5">
        <w:rPr>
          <w:rFonts w:ascii="Arial" w:hAnsi="Arial" w:cs="Arial"/>
          <w:bCs/>
          <w:sz w:val="20"/>
          <w:szCs w:val="20"/>
        </w:rPr>
        <w:t>X – X% of Allocation]</w:t>
      </w:r>
      <w:r w:rsidR="00F1711C" w:rsidRPr="004040A5">
        <w:rPr>
          <w:rFonts w:ascii="Arial" w:hAnsi="Arial" w:cs="Arial"/>
          <w:bCs/>
          <w:sz w:val="20"/>
          <w:szCs w:val="20"/>
        </w:rPr>
        <w:t xml:space="preserve">. </w:t>
      </w:r>
      <w:r w:rsidRPr="00182F8D">
        <w:rPr>
          <w:rFonts w:ascii="Arial" w:hAnsi="Arial" w:cs="Arial"/>
          <w:bCs/>
          <w:sz w:val="20"/>
          <w:szCs w:val="20"/>
        </w:rPr>
        <w:t>A comprehensive package of needs-</w:t>
      </w:r>
      <w:r w:rsidRPr="004040A5">
        <w:rPr>
          <w:rFonts w:ascii="Arial" w:hAnsi="Arial" w:cs="Arial"/>
          <w:bCs/>
          <w:sz w:val="20"/>
          <w:szCs w:val="20"/>
        </w:rPr>
        <w:t>based operational research will be supported as far as funding permits. NMEP will work in collaboration with WHO and national and international experts and institutes to develop research capacity and improve the quality and relevance of research outputs. Research will aim to addresses bottlenecks in operations and find innovative ways to address residual malaria transmission (RMT) and effectively deliver services to hard-to-reach populations. Research will only be carried</w:t>
      </w:r>
      <w:r w:rsidR="008A5BB7">
        <w:rPr>
          <w:rFonts w:ascii="Arial" w:hAnsi="Arial" w:cs="Arial"/>
          <w:bCs/>
          <w:sz w:val="20"/>
          <w:szCs w:val="20"/>
        </w:rPr>
        <w:t>-</w:t>
      </w:r>
      <w:r w:rsidRPr="004040A5">
        <w:rPr>
          <w:rFonts w:ascii="Arial" w:hAnsi="Arial" w:cs="Arial"/>
          <w:bCs/>
          <w:sz w:val="20"/>
          <w:szCs w:val="20"/>
        </w:rPr>
        <w:t xml:space="preserve">out following approval by the Bangladesh Ethics Review Committee. </w:t>
      </w:r>
    </w:p>
    <w:p w:rsidR="00EC674A" w:rsidRPr="004040A5" w:rsidRDefault="00096C3F" w:rsidP="007205D8">
      <w:pPr>
        <w:spacing w:before="120" w:after="110" w:line="240" w:lineRule="auto"/>
        <w:rPr>
          <w:rFonts w:ascii="Arial" w:hAnsi="Arial" w:cs="Arial"/>
          <w:bCs/>
          <w:sz w:val="20"/>
          <w:szCs w:val="20"/>
          <w:lang w:val="en-US"/>
        </w:rPr>
      </w:pPr>
      <w:r w:rsidRPr="004040A5">
        <w:rPr>
          <w:rFonts w:ascii="Arial" w:hAnsi="Arial" w:cs="Arial"/>
          <w:bCs/>
          <w:sz w:val="20"/>
          <w:szCs w:val="20"/>
        </w:rPr>
        <w:t>The funding request covers support for an</w:t>
      </w:r>
      <w:r w:rsidR="00EC674A" w:rsidRPr="004040A5">
        <w:rPr>
          <w:rFonts w:ascii="Arial" w:hAnsi="Arial" w:cs="Arial"/>
          <w:bCs/>
          <w:sz w:val="20"/>
          <w:szCs w:val="20"/>
        </w:rPr>
        <w:t xml:space="preserve"> annual review of research</w:t>
      </w:r>
      <w:r w:rsidRPr="004040A5">
        <w:rPr>
          <w:rFonts w:ascii="Arial" w:hAnsi="Arial" w:cs="Arial"/>
          <w:bCs/>
          <w:sz w:val="20"/>
          <w:szCs w:val="20"/>
        </w:rPr>
        <w:t xml:space="preserve"> through the development of </w:t>
      </w:r>
      <w:r w:rsidRPr="004040A5">
        <w:rPr>
          <w:rFonts w:ascii="Arial" w:hAnsi="Arial" w:cs="Arial"/>
          <w:sz w:val="20"/>
          <w:szCs w:val="20"/>
          <w:lang w:val="en-US"/>
        </w:rPr>
        <w:t>an open access research website</w:t>
      </w:r>
      <w:r w:rsidRPr="004040A5">
        <w:rPr>
          <w:rFonts w:ascii="Arial" w:hAnsi="Arial" w:cs="Arial"/>
          <w:bCs/>
          <w:sz w:val="20"/>
          <w:szCs w:val="20"/>
        </w:rPr>
        <w:t xml:space="preserve"> [SE1.2]</w:t>
      </w:r>
      <w:r w:rsidR="00EC674A" w:rsidRPr="004040A5">
        <w:rPr>
          <w:rFonts w:ascii="Arial" w:hAnsi="Arial" w:cs="Arial"/>
          <w:bCs/>
          <w:sz w:val="20"/>
          <w:szCs w:val="20"/>
        </w:rPr>
        <w:t>.</w:t>
      </w:r>
      <w:r w:rsidR="00DA4F94" w:rsidRPr="004040A5">
        <w:rPr>
          <w:rFonts w:ascii="Arial" w:hAnsi="Arial" w:cs="Arial"/>
          <w:bCs/>
          <w:sz w:val="20"/>
          <w:szCs w:val="20"/>
        </w:rPr>
        <w:t xml:space="preserve">The funding request covers progress review and strategy development [SE2.2.1] in the form of support for an </w:t>
      </w:r>
      <w:r w:rsidR="00DA4F94" w:rsidRPr="004040A5">
        <w:rPr>
          <w:rFonts w:ascii="Arial" w:hAnsi="Arial" w:cs="Arial"/>
          <w:sz w:val="20"/>
          <w:szCs w:val="20"/>
        </w:rPr>
        <w:t>annual review meeting at central level</w:t>
      </w:r>
      <w:r w:rsidR="00DA4F94" w:rsidRPr="004040A5">
        <w:rPr>
          <w:rFonts w:ascii="Arial" w:hAnsi="Arial" w:cs="Arial"/>
          <w:bCs/>
          <w:sz w:val="20"/>
          <w:szCs w:val="20"/>
        </w:rPr>
        <w:t>.</w:t>
      </w:r>
      <w:bookmarkStart w:id="5" w:name="_Toc321411404"/>
      <w:r w:rsidR="001C4565" w:rsidRPr="004040A5">
        <w:rPr>
          <w:rFonts w:ascii="Arial" w:hAnsi="Arial" w:cs="Arial"/>
          <w:bCs/>
          <w:sz w:val="20"/>
          <w:szCs w:val="20"/>
        </w:rPr>
        <w:t xml:space="preserve">The funding request </w:t>
      </w:r>
      <w:r w:rsidRPr="004040A5">
        <w:rPr>
          <w:rFonts w:ascii="Arial" w:hAnsi="Arial" w:cs="Arial"/>
          <w:bCs/>
          <w:sz w:val="20"/>
          <w:szCs w:val="20"/>
        </w:rPr>
        <w:t xml:space="preserve">also </w:t>
      </w:r>
      <w:r w:rsidR="001C4565" w:rsidRPr="004040A5">
        <w:rPr>
          <w:rFonts w:ascii="Arial" w:hAnsi="Arial" w:cs="Arial"/>
          <w:bCs/>
          <w:sz w:val="20"/>
          <w:szCs w:val="20"/>
        </w:rPr>
        <w:t xml:space="preserve">covers </w:t>
      </w:r>
      <w:r w:rsidRPr="004040A5">
        <w:rPr>
          <w:rFonts w:ascii="Arial" w:hAnsi="Arial" w:cs="Arial"/>
          <w:bCs/>
          <w:sz w:val="20"/>
          <w:szCs w:val="20"/>
          <w:lang w:val="en-US"/>
        </w:rPr>
        <w:t>m</w:t>
      </w:r>
      <w:r w:rsidR="00EC674A" w:rsidRPr="004040A5">
        <w:rPr>
          <w:rFonts w:ascii="Arial" w:hAnsi="Arial" w:cs="Arial"/>
          <w:bCs/>
          <w:sz w:val="20"/>
          <w:szCs w:val="20"/>
          <w:lang w:val="en-US"/>
        </w:rPr>
        <w:t>easuring progress and impact</w:t>
      </w:r>
      <w:bookmarkEnd w:id="5"/>
      <w:r w:rsidR="001C4565" w:rsidRPr="004040A5">
        <w:rPr>
          <w:rFonts w:ascii="Arial" w:hAnsi="Arial" w:cs="Arial"/>
          <w:bCs/>
          <w:sz w:val="20"/>
          <w:szCs w:val="20"/>
          <w:lang w:val="en-US"/>
        </w:rPr>
        <w:t xml:space="preserve"> though support for a Malaria Programme Review</w:t>
      </w:r>
      <w:r w:rsidRPr="004040A5">
        <w:rPr>
          <w:rFonts w:ascii="Arial" w:hAnsi="Arial" w:cs="Arial"/>
          <w:bCs/>
          <w:sz w:val="20"/>
          <w:szCs w:val="20"/>
          <w:lang w:val="en-US"/>
        </w:rPr>
        <w:t xml:space="preserve"> [SE2.14]</w:t>
      </w:r>
      <w:r w:rsidR="001C4565" w:rsidRPr="004040A5">
        <w:rPr>
          <w:rFonts w:ascii="Arial" w:hAnsi="Arial" w:cs="Arial"/>
          <w:bCs/>
          <w:sz w:val="20"/>
          <w:szCs w:val="20"/>
          <w:lang w:val="en-US"/>
        </w:rPr>
        <w:t>.</w:t>
      </w:r>
    </w:p>
    <w:p w:rsidR="00EC674A" w:rsidRPr="004040A5" w:rsidRDefault="00023916" w:rsidP="00EC674A">
      <w:pPr>
        <w:tabs>
          <w:tab w:val="left" w:pos="8100"/>
        </w:tabs>
        <w:spacing w:after="120" w:line="240" w:lineRule="auto"/>
        <w:rPr>
          <w:rFonts w:ascii="Arial" w:hAnsi="Arial" w:cs="Arial"/>
          <w:b/>
          <w:bCs/>
          <w:sz w:val="20"/>
          <w:szCs w:val="20"/>
          <w:u w:val="single"/>
        </w:rPr>
      </w:pPr>
      <w:r w:rsidRPr="004040A5">
        <w:rPr>
          <w:rFonts w:ascii="Arial" w:hAnsi="Arial" w:cs="Arial"/>
          <w:b/>
          <w:sz w:val="20"/>
          <w:szCs w:val="20"/>
          <w:u w:val="single"/>
        </w:rPr>
        <w:t xml:space="preserve">Module 4 - </w:t>
      </w:r>
      <w:r w:rsidR="00EC674A" w:rsidRPr="004040A5">
        <w:rPr>
          <w:rFonts w:ascii="Arial" w:hAnsi="Arial" w:cs="Arial"/>
          <w:b/>
          <w:sz w:val="20"/>
          <w:szCs w:val="20"/>
          <w:u w:val="single"/>
        </w:rPr>
        <w:t>Program management</w:t>
      </w:r>
    </w:p>
    <w:p w:rsidR="00EC674A" w:rsidRPr="004040A5" w:rsidRDefault="00EC674A" w:rsidP="004040A5">
      <w:pPr>
        <w:tabs>
          <w:tab w:val="left" w:pos="8100"/>
        </w:tabs>
        <w:spacing w:after="120" w:line="240" w:lineRule="auto"/>
        <w:rPr>
          <w:rFonts w:ascii="Arial" w:hAnsi="Arial" w:cs="Arial"/>
          <w:bCs/>
          <w:sz w:val="20"/>
          <w:szCs w:val="20"/>
        </w:rPr>
      </w:pPr>
      <w:r w:rsidRPr="004040A5">
        <w:rPr>
          <w:rFonts w:ascii="Arial" w:hAnsi="Arial" w:cs="Arial"/>
          <w:i/>
          <w:sz w:val="20"/>
          <w:szCs w:val="20"/>
        </w:rPr>
        <w:t xml:space="preserve">Policy, planning, coordination and management </w:t>
      </w:r>
      <w:r w:rsidRPr="00182F8D">
        <w:rPr>
          <w:rFonts w:ascii="Arial" w:hAnsi="Arial" w:cs="Arial"/>
          <w:bCs/>
          <w:sz w:val="20"/>
          <w:szCs w:val="20"/>
        </w:rPr>
        <w:t>[$</w:t>
      </w:r>
      <w:r w:rsidRPr="004040A5">
        <w:rPr>
          <w:rFonts w:ascii="Arial" w:hAnsi="Arial" w:cs="Arial"/>
          <w:bCs/>
          <w:sz w:val="20"/>
          <w:szCs w:val="20"/>
        </w:rPr>
        <w:t>X – X% of Allocation]</w:t>
      </w:r>
      <w:r w:rsidR="00F1711C" w:rsidRPr="004040A5">
        <w:rPr>
          <w:rFonts w:ascii="Arial" w:hAnsi="Arial" w:cs="Arial"/>
          <w:sz w:val="20"/>
          <w:szCs w:val="20"/>
        </w:rPr>
        <w:t xml:space="preserve">. </w:t>
      </w:r>
      <w:r w:rsidR="001D57E5" w:rsidRPr="004040A5">
        <w:rPr>
          <w:rFonts w:ascii="Arial" w:hAnsi="Arial" w:cs="Arial"/>
          <w:sz w:val="20"/>
          <w:szCs w:val="20"/>
        </w:rPr>
        <w:t xml:space="preserve">Representatives from various sectors (governmental and non-governmental) will be involved in the planning and implementation of malaria control and elimination efforts. </w:t>
      </w:r>
      <w:r w:rsidR="001D57E5" w:rsidRPr="00182F8D">
        <w:rPr>
          <w:rFonts w:ascii="Arial" w:hAnsi="Arial" w:cs="Arial"/>
          <w:bCs/>
          <w:sz w:val="20"/>
          <w:szCs w:val="20"/>
        </w:rPr>
        <w:t>The funding request covers</w:t>
      </w:r>
      <w:r w:rsidRPr="004040A5">
        <w:rPr>
          <w:rFonts w:ascii="Arial" w:hAnsi="Arial" w:cs="Arial"/>
          <w:bCs/>
          <w:sz w:val="20"/>
          <w:szCs w:val="20"/>
        </w:rPr>
        <w:t>Partnerships</w:t>
      </w:r>
      <w:r w:rsidR="001D57E5" w:rsidRPr="004040A5">
        <w:rPr>
          <w:rFonts w:ascii="Arial" w:hAnsi="Arial" w:cs="Arial"/>
          <w:bCs/>
          <w:sz w:val="20"/>
          <w:szCs w:val="20"/>
        </w:rPr>
        <w:t xml:space="preserve"> [SE2.5] through support for </w:t>
      </w:r>
      <w:r w:rsidR="001D57E5" w:rsidRPr="004040A5">
        <w:rPr>
          <w:rFonts w:ascii="Arial" w:hAnsi="Arial" w:cs="Arial"/>
          <w:sz w:val="20"/>
          <w:szCs w:val="20"/>
        </w:rPr>
        <w:t>coordination meeting among partners at central, district and upazila levels</w:t>
      </w:r>
      <w:r w:rsidRPr="004040A5">
        <w:rPr>
          <w:rFonts w:ascii="Arial" w:hAnsi="Arial" w:cs="Arial"/>
          <w:bCs/>
          <w:sz w:val="20"/>
          <w:szCs w:val="20"/>
        </w:rPr>
        <w:t>.</w:t>
      </w:r>
    </w:p>
    <w:p w:rsidR="00EC674A" w:rsidRPr="004040A5" w:rsidRDefault="001D57E5" w:rsidP="00EC674A">
      <w:pPr>
        <w:spacing w:before="120" w:after="110" w:line="240" w:lineRule="auto"/>
        <w:rPr>
          <w:rFonts w:ascii="Arial" w:hAnsi="Arial" w:cs="Arial"/>
          <w:bCs/>
          <w:sz w:val="20"/>
          <w:szCs w:val="20"/>
        </w:rPr>
      </w:pPr>
      <w:r w:rsidRPr="00182F8D">
        <w:rPr>
          <w:rFonts w:ascii="Arial" w:hAnsi="Arial" w:cs="Arial"/>
          <w:bCs/>
          <w:sz w:val="20"/>
          <w:szCs w:val="20"/>
        </w:rPr>
        <w:t>The funding req</w:t>
      </w:r>
      <w:r w:rsidRPr="004040A5">
        <w:rPr>
          <w:rFonts w:ascii="Arial" w:hAnsi="Arial" w:cs="Arial"/>
          <w:bCs/>
          <w:sz w:val="20"/>
          <w:szCs w:val="20"/>
        </w:rPr>
        <w:t xml:space="preserve">uest covers </w:t>
      </w:r>
      <w:r w:rsidR="00EC674A" w:rsidRPr="004040A5">
        <w:rPr>
          <w:rFonts w:ascii="Arial" w:hAnsi="Arial" w:cs="Arial"/>
          <w:bCs/>
          <w:sz w:val="20"/>
          <w:szCs w:val="20"/>
        </w:rPr>
        <w:t>International exchange and cooperation</w:t>
      </w:r>
      <w:r w:rsidRPr="004040A5">
        <w:rPr>
          <w:rFonts w:ascii="Arial" w:hAnsi="Arial" w:cs="Arial"/>
          <w:bCs/>
          <w:sz w:val="20"/>
          <w:szCs w:val="20"/>
        </w:rPr>
        <w:t xml:space="preserve"> [SE2.6.] through support for </w:t>
      </w:r>
      <w:r w:rsidRPr="004040A5">
        <w:rPr>
          <w:rFonts w:ascii="Arial" w:hAnsi="Arial" w:cs="Arial"/>
          <w:sz w:val="20"/>
          <w:szCs w:val="20"/>
        </w:rPr>
        <w:t>participation in international seminars/conferences/workshops/learning visits to other countries</w:t>
      </w:r>
      <w:r w:rsidR="00EC674A" w:rsidRPr="004040A5">
        <w:rPr>
          <w:rFonts w:ascii="Arial" w:hAnsi="Arial" w:cs="Arial"/>
          <w:bCs/>
          <w:sz w:val="20"/>
          <w:szCs w:val="20"/>
        </w:rPr>
        <w:t>.</w:t>
      </w:r>
    </w:p>
    <w:p w:rsidR="006F48C6" w:rsidRPr="004040A5" w:rsidRDefault="00536AE8" w:rsidP="007205D8">
      <w:pPr>
        <w:spacing w:before="120" w:after="110" w:line="240" w:lineRule="auto"/>
        <w:rPr>
          <w:rFonts w:ascii="Arial" w:hAnsi="Arial" w:cs="Arial"/>
          <w:bCs/>
          <w:sz w:val="20"/>
          <w:szCs w:val="20"/>
          <w:highlight w:val="yellow"/>
        </w:rPr>
      </w:pPr>
      <w:r w:rsidRPr="00182F8D">
        <w:rPr>
          <w:rFonts w:ascii="Arial" w:hAnsi="Arial" w:cs="Arial"/>
          <w:bCs/>
          <w:sz w:val="20"/>
          <w:szCs w:val="20"/>
        </w:rPr>
        <w:lastRenderedPageBreak/>
        <w:t>The funding request covers</w:t>
      </w:r>
      <w:r w:rsidRPr="004040A5">
        <w:rPr>
          <w:rFonts w:ascii="Arial" w:hAnsi="Arial" w:cs="Arial"/>
          <w:bCs/>
          <w:sz w:val="20"/>
          <w:szCs w:val="20"/>
        </w:rPr>
        <w:t xml:space="preserve"> h</w:t>
      </w:r>
      <w:r w:rsidR="00EC674A" w:rsidRPr="004040A5">
        <w:rPr>
          <w:rFonts w:ascii="Arial" w:hAnsi="Arial" w:cs="Arial"/>
          <w:bCs/>
          <w:sz w:val="20"/>
          <w:szCs w:val="20"/>
        </w:rPr>
        <w:t>uman resources (HR)</w:t>
      </w:r>
      <w:r w:rsidRPr="004040A5">
        <w:rPr>
          <w:rFonts w:ascii="Arial" w:hAnsi="Arial" w:cs="Arial"/>
          <w:bCs/>
          <w:sz w:val="20"/>
          <w:szCs w:val="20"/>
        </w:rPr>
        <w:t xml:space="preserve"> [SE2.8] through support for GoB staff salaries; Development and production of training materials </w:t>
      </w:r>
      <w:r w:rsidRPr="004040A5">
        <w:rPr>
          <w:rFonts w:ascii="Arial" w:hAnsi="Arial" w:cs="Arial"/>
          <w:bCs/>
          <w:i/>
          <w:sz w:val="20"/>
          <w:szCs w:val="20"/>
        </w:rPr>
        <w:t>[</w:t>
      </w:r>
      <w:r w:rsidR="00EC674A" w:rsidRPr="004040A5">
        <w:rPr>
          <w:rFonts w:ascii="Arial" w:hAnsi="Arial" w:cs="Arial"/>
          <w:bCs/>
          <w:i/>
          <w:sz w:val="20"/>
          <w:szCs w:val="20"/>
        </w:rPr>
        <w:t>SE2.8.2</w:t>
      </w:r>
      <w:r w:rsidRPr="004040A5">
        <w:rPr>
          <w:rFonts w:ascii="Arial" w:hAnsi="Arial" w:cs="Arial"/>
          <w:bCs/>
          <w:i/>
          <w:sz w:val="20"/>
          <w:szCs w:val="20"/>
        </w:rPr>
        <w:t>];</w:t>
      </w:r>
      <w:r w:rsidR="005D4EE2" w:rsidRPr="004040A5">
        <w:rPr>
          <w:rFonts w:ascii="Arial" w:hAnsi="Arial" w:cs="Arial"/>
          <w:bCs/>
          <w:sz w:val="20"/>
          <w:szCs w:val="20"/>
        </w:rPr>
        <w:t xml:space="preserve"> Infrastructure development, maintenance and running costs</w:t>
      </w:r>
      <w:r w:rsidRPr="004040A5">
        <w:rPr>
          <w:rFonts w:ascii="Arial" w:hAnsi="Arial" w:cs="Arial"/>
          <w:bCs/>
          <w:sz w:val="20"/>
          <w:szCs w:val="20"/>
        </w:rPr>
        <w:t xml:space="preserve"> in the form of fuel and </w:t>
      </w:r>
      <w:r w:rsidR="008F6939" w:rsidRPr="004040A5">
        <w:rPr>
          <w:rFonts w:ascii="Arial" w:hAnsi="Arial" w:cs="Arial"/>
          <w:bCs/>
          <w:sz w:val="20"/>
          <w:szCs w:val="20"/>
        </w:rPr>
        <w:t>maintenance</w:t>
      </w:r>
      <w:r w:rsidRPr="004040A5">
        <w:rPr>
          <w:rFonts w:ascii="Arial" w:hAnsi="Arial" w:cs="Arial"/>
          <w:bCs/>
          <w:sz w:val="20"/>
          <w:szCs w:val="20"/>
        </w:rPr>
        <w:t xml:space="preserve"> costs for selected programme vehicles </w:t>
      </w:r>
      <w:r w:rsidR="008F6939" w:rsidRPr="004040A5">
        <w:rPr>
          <w:rFonts w:ascii="Arial" w:hAnsi="Arial" w:cs="Arial"/>
          <w:bCs/>
          <w:sz w:val="20"/>
          <w:szCs w:val="20"/>
        </w:rPr>
        <w:t xml:space="preserve">and costs for communications and stationary [SE2.9].The funding request covers programmatic supervision and monitoring and evaluation (surveys) [SE2.13] through support for: </w:t>
      </w:r>
      <w:r w:rsidR="008F6939" w:rsidRPr="004040A5">
        <w:rPr>
          <w:rFonts w:ascii="Arial" w:hAnsi="Arial" w:cs="Arial"/>
          <w:sz w:val="20"/>
          <w:szCs w:val="20"/>
        </w:rPr>
        <w:t>Performance sharing meetings at central, district and upazila levels; Supportive supervision, mentoring and routine monitoring by central level teams; Routine M&amp;E visits by central, district and upazila level teams; Field visits by central level medical technologists (lab) from to upazilas</w:t>
      </w:r>
      <w:r w:rsidR="00673121" w:rsidRPr="004040A5">
        <w:rPr>
          <w:rFonts w:ascii="Arial" w:hAnsi="Arial" w:cs="Arial"/>
          <w:sz w:val="20"/>
          <w:szCs w:val="20"/>
        </w:rPr>
        <w:t>; and, Overheads [SE2.15]</w:t>
      </w:r>
      <w:r w:rsidR="008F6939" w:rsidRPr="004040A5">
        <w:rPr>
          <w:rFonts w:ascii="Arial" w:hAnsi="Arial" w:cs="Arial"/>
          <w:sz w:val="20"/>
          <w:szCs w:val="20"/>
        </w:rPr>
        <w:t xml:space="preserve">. </w:t>
      </w:r>
    </w:p>
    <w:p w:rsidR="006F48C6" w:rsidRPr="004040A5" w:rsidRDefault="006F48C6" w:rsidP="004040A5">
      <w:pPr>
        <w:tabs>
          <w:tab w:val="left" w:pos="8100"/>
        </w:tabs>
        <w:spacing w:after="120" w:line="240" w:lineRule="auto"/>
        <w:rPr>
          <w:rFonts w:ascii="Arial" w:hAnsi="Arial" w:cs="Arial"/>
          <w:bCs/>
          <w:sz w:val="20"/>
          <w:szCs w:val="20"/>
        </w:rPr>
      </w:pPr>
      <w:r w:rsidRPr="004040A5">
        <w:rPr>
          <w:rFonts w:ascii="Arial" w:hAnsi="Arial" w:cs="Arial"/>
          <w:i/>
          <w:sz w:val="20"/>
          <w:szCs w:val="20"/>
        </w:rPr>
        <w:t xml:space="preserve">Grant management </w:t>
      </w:r>
      <w:r w:rsidRPr="00182F8D">
        <w:rPr>
          <w:rFonts w:ascii="Arial" w:hAnsi="Arial" w:cs="Arial"/>
          <w:bCs/>
          <w:sz w:val="20"/>
          <w:szCs w:val="20"/>
        </w:rPr>
        <w:t>[$</w:t>
      </w:r>
      <w:r w:rsidRPr="004040A5">
        <w:rPr>
          <w:rFonts w:ascii="Arial" w:hAnsi="Arial" w:cs="Arial"/>
          <w:bCs/>
          <w:sz w:val="20"/>
          <w:szCs w:val="20"/>
        </w:rPr>
        <w:t>X – X% of Allocation]</w:t>
      </w:r>
      <w:r w:rsidR="00F1711C" w:rsidRPr="004040A5">
        <w:rPr>
          <w:rFonts w:ascii="Arial" w:hAnsi="Arial" w:cs="Arial"/>
          <w:bCs/>
          <w:sz w:val="20"/>
          <w:szCs w:val="20"/>
        </w:rPr>
        <w:t xml:space="preserve">. </w:t>
      </w:r>
      <w:r w:rsidR="00F1711C" w:rsidRPr="00182F8D">
        <w:rPr>
          <w:rFonts w:ascii="Arial" w:hAnsi="Arial" w:cs="Arial"/>
          <w:bCs/>
          <w:sz w:val="20"/>
          <w:szCs w:val="20"/>
        </w:rPr>
        <w:t>The funding request covers</w:t>
      </w:r>
      <w:r w:rsidR="00F1711C" w:rsidRPr="004040A5">
        <w:rPr>
          <w:rFonts w:ascii="Arial" w:hAnsi="Arial" w:cs="Arial"/>
          <w:bCs/>
          <w:sz w:val="20"/>
          <w:szCs w:val="20"/>
        </w:rPr>
        <w:t xml:space="preserve"> financial </w:t>
      </w:r>
      <w:r w:rsidRPr="004040A5">
        <w:rPr>
          <w:rFonts w:ascii="Arial" w:hAnsi="Arial" w:cs="Arial"/>
          <w:bCs/>
          <w:sz w:val="20"/>
          <w:szCs w:val="20"/>
        </w:rPr>
        <w:t>management</w:t>
      </w:r>
      <w:r w:rsidR="00F1711C" w:rsidRPr="004040A5">
        <w:rPr>
          <w:rFonts w:ascii="Arial" w:hAnsi="Arial" w:cs="Arial"/>
          <w:bCs/>
          <w:sz w:val="20"/>
          <w:szCs w:val="20"/>
        </w:rPr>
        <w:t xml:space="preserve"> in the form of support for </w:t>
      </w:r>
      <w:r w:rsidR="00F1711C" w:rsidRPr="004040A5">
        <w:rPr>
          <w:rFonts w:ascii="Arial" w:hAnsi="Arial" w:cs="Arial"/>
          <w:sz w:val="20"/>
          <w:szCs w:val="20"/>
        </w:rPr>
        <w:t>Annual Grant Audits for all IPs [</w:t>
      </w:r>
      <w:r w:rsidR="00F1711C" w:rsidRPr="004040A5">
        <w:rPr>
          <w:rFonts w:ascii="Arial" w:hAnsi="Arial" w:cs="Arial"/>
          <w:bCs/>
          <w:sz w:val="20"/>
          <w:szCs w:val="20"/>
        </w:rPr>
        <w:t>SE2.3]</w:t>
      </w:r>
      <w:r w:rsidR="00F1711C" w:rsidRPr="004040A5">
        <w:rPr>
          <w:rFonts w:ascii="Arial" w:hAnsi="Arial" w:cs="Arial"/>
          <w:sz w:val="20"/>
          <w:szCs w:val="20"/>
        </w:rPr>
        <w:t>.</w:t>
      </w:r>
    </w:p>
    <w:p w:rsidR="006F48C6" w:rsidRPr="004040A5" w:rsidRDefault="006F48C6" w:rsidP="006F48C6">
      <w:pPr>
        <w:tabs>
          <w:tab w:val="left" w:pos="8100"/>
        </w:tabs>
        <w:spacing w:after="120" w:line="240" w:lineRule="auto"/>
        <w:rPr>
          <w:rFonts w:ascii="Arial" w:hAnsi="Arial" w:cs="Arial"/>
          <w:bCs/>
          <w:sz w:val="20"/>
          <w:szCs w:val="20"/>
          <w:u w:val="single"/>
        </w:rPr>
      </w:pPr>
      <w:r w:rsidRPr="004040A5">
        <w:rPr>
          <w:rFonts w:ascii="Arial" w:hAnsi="Arial" w:cs="Arial"/>
          <w:i/>
          <w:sz w:val="20"/>
          <w:szCs w:val="20"/>
        </w:rPr>
        <w:t>Supporting procurement and supply management</w:t>
      </w:r>
      <w:r w:rsidRPr="00182F8D">
        <w:rPr>
          <w:rFonts w:ascii="Arial" w:hAnsi="Arial" w:cs="Arial"/>
          <w:bCs/>
          <w:sz w:val="20"/>
          <w:szCs w:val="20"/>
        </w:rPr>
        <w:t xml:space="preserve"> [$</w:t>
      </w:r>
      <w:r w:rsidRPr="004040A5">
        <w:rPr>
          <w:rFonts w:ascii="Arial" w:hAnsi="Arial" w:cs="Arial"/>
          <w:bCs/>
          <w:sz w:val="20"/>
          <w:szCs w:val="20"/>
        </w:rPr>
        <w:t>X – X% of Allocation]</w:t>
      </w:r>
      <w:r w:rsidR="00F1711C" w:rsidRPr="004040A5">
        <w:rPr>
          <w:rFonts w:ascii="Arial" w:hAnsi="Arial" w:cs="Arial"/>
          <w:bCs/>
          <w:sz w:val="20"/>
          <w:szCs w:val="20"/>
        </w:rPr>
        <w:t xml:space="preserve">. </w:t>
      </w:r>
      <w:r w:rsidR="00F1711C" w:rsidRPr="00182F8D">
        <w:rPr>
          <w:rFonts w:ascii="Arial" w:hAnsi="Arial" w:cs="Arial"/>
          <w:bCs/>
          <w:sz w:val="20"/>
          <w:szCs w:val="20"/>
        </w:rPr>
        <w:t>The funding request covers</w:t>
      </w:r>
      <w:r w:rsidRPr="004040A5">
        <w:rPr>
          <w:rFonts w:ascii="Arial" w:hAnsi="Arial" w:cs="Arial"/>
          <w:bCs/>
          <w:sz w:val="20"/>
          <w:szCs w:val="20"/>
        </w:rPr>
        <w:t>Quality assurance (QA) for programme commodities</w:t>
      </w:r>
      <w:r w:rsidR="00F1711C" w:rsidRPr="004040A5">
        <w:rPr>
          <w:rFonts w:ascii="Arial" w:hAnsi="Arial" w:cs="Arial"/>
          <w:bCs/>
          <w:i/>
          <w:sz w:val="20"/>
          <w:szCs w:val="20"/>
        </w:rPr>
        <w:t xml:space="preserve"> [SE2.10.2.] </w:t>
      </w:r>
      <w:r w:rsidR="00F1711C" w:rsidRPr="004040A5">
        <w:rPr>
          <w:rFonts w:ascii="Arial" w:hAnsi="Arial" w:cs="Arial"/>
          <w:sz w:val="20"/>
          <w:szCs w:val="20"/>
        </w:rPr>
        <w:t>in the form of support for insecticide testing costs and for the transport of samples for batch testing</w:t>
      </w:r>
      <w:r w:rsidRPr="004040A5">
        <w:rPr>
          <w:rFonts w:ascii="Arial" w:hAnsi="Arial" w:cs="Arial"/>
          <w:bCs/>
          <w:i/>
          <w:sz w:val="20"/>
          <w:szCs w:val="20"/>
        </w:rPr>
        <w:t xml:space="preserve">. </w:t>
      </w:r>
    </w:p>
    <w:p w:rsidR="002032B9" w:rsidRPr="004040A5" w:rsidRDefault="002032B9" w:rsidP="00CF08AE">
      <w:pPr>
        <w:spacing w:before="120" w:after="110" w:line="240" w:lineRule="auto"/>
        <w:rPr>
          <w:rFonts w:ascii="Arial" w:hAnsi="Arial" w:cs="Arial"/>
          <w:bCs/>
          <w:sz w:val="20"/>
          <w:szCs w:val="20"/>
        </w:rPr>
      </w:pPr>
      <w:r w:rsidRPr="00182F8D">
        <w:rPr>
          <w:rFonts w:ascii="Arial" w:hAnsi="Arial" w:cs="Arial"/>
          <w:bCs/>
          <w:i/>
          <w:sz w:val="20"/>
          <w:szCs w:val="20"/>
        </w:rPr>
        <w:t>Prioritization.</w:t>
      </w:r>
      <w:r w:rsidRPr="004040A5">
        <w:rPr>
          <w:rFonts w:ascii="Arial" w:hAnsi="Arial" w:cs="Arial"/>
          <w:bCs/>
          <w:sz w:val="20"/>
          <w:szCs w:val="20"/>
        </w:rPr>
        <w:t xml:space="preserve"> A detailed prioritization of activities has been carried-out as part of the NSPME development process. Activities have been identified as ‘absolute’, ‘high’, ‘medium’ and ‘low’ priority based on an analysis of a combination of various factors including ‘expected impact’, ‘cost’ and ‘malaria risk’. The prioritization process was carried out by a panel of experts from NMEP, BRAC, WHO and partners following stakeholder approval of the final draft of the NSPME. The prioritization itself was then fine-tuned in consultation with various stakeholders including members of the GF Country Team before the final version of the NSPME budget was prepared and disseminated. The results of the prioritization process are presented in column </w:t>
      </w:r>
      <w:r w:rsidRPr="004040A5">
        <w:rPr>
          <w:rFonts w:ascii="Arial" w:hAnsi="Arial" w:cs="Arial"/>
          <w:bCs/>
          <w:sz w:val="20"/>
          <w:szCs w:val="20"/>
          <w:highlight w:val="yellow"/>
        </w:rPr>
        <w:t>X</w:t>
      </w:r>
      <w:r w:rsidRPr="004040A5">
        <w:rPr>
          <w:rFonts w:ascii="Arial" w:hAnsi="Arial" w:cs="Arial"/>
          <w:bCs/>
          <w:sz w:val="20"/>
          <w:szCs w:val="20"/>
        </w:rPr>
        <w:t xml:space="preserve"> of worksheet ‘Budget’ in the workbook ‘BAN Malaria NSPME Budget 170</w:t>
      </w:r>
      <w:r w:rsidRPr="004040A5">
        <w:rPr>
          <w:rFonts w:ascii="Arial" w:hAnsi="Arial" w:cs="Arial"/>
          <w:bCs/>
          <w:sz w:val="20"/>
          <w:szCs w:val="20"/>
          <w:highlight w:val="yellow"/>
        </w:rPr>
        <w:t>130</w:t>
      </w:r>
      <w:r w:rsidRPr="004040A5">
        <w:rPr>
          <w:rFonts w:ascii="Arial" w:hAnsi="Arial" w:cs="Arial"/>
          <w:bCs/>
          <w:sz w:val="20"/>
          <w:szCs w:val="20"/>
        </w:rPr>
        <w:t xml:space="preserve">.xlsx’ (Annex </w:t>
      </w:r>
      <w:r w:rsidRPr="004040A5">
        <w:rPr>
          <w:rFonts w:ascii="Arial" w:hAnsi="Arial" w:cs="Arial"/>
          <w:bCs/>
          <w:sz w:val="20"/>
          <w:szCs w:val="20"/>
          <w:highlight w:val="yellow"/>
        </w:rPr>
        <w:t>X</w:t>
      </w:r>
      <w:r w:rsidRPr="004040A5">
        <w:rPr>
          <w:rFonts w:ascii="Arial" w:hAnsi="Arial" w:cs="Arial"/>
          <w:bCs/>
          <w:sz w:val="20"/>
          <w:szCs w:val="20"/>
        </w:rPr>
        <w:t xml:space="preserve">). </w:t>
      </w:r>
      <w:r w:rsidRPr="004040A5">
        <w:rPr>
          <w:rFonts w:ascii="Arial" w:hAnsi="Arial" w:cs="Arial"/>
          <w:sz w:val="20"/>
          <w:szCs w:val="20"/>
        </w:rPr>
        <w:t xml:space="preserve">The within allocation component of this request is restricted to support for absolute priority activities. </w:t>
      </w:r>
    </w:p>
    <w:p w:rsidR="008A5BB7" w:rsidRDefault="002032B9" w:rsidP="00CF08AE">
      <w:pPr>
        <w:spacing w:before="120" w:after="120" w:line="240" w:lineRule="auto"/>
        <w:rPr>
          <w:rFonts w:ascii="Arial" w:hAnsi="Arial" w:cs="Arial"/>
          <w:sz w:val="20"/>
          <w:szCs w:val="20"/>
        </w:rPr>
      </w:pPr>
      <w:r w:rsidRPr="004040A5">
        <w:rPr>
          <w:rFonts w:ascii="Arial" w:hAnsi="Arial" w:cs="Arial"/>
          <w:i/>
          <w:sz w:val="20"/>
          <w:szCs w:val="20"/>
        </w:rPr>
        <w:t>Impact</w:t>
      </w:r>
      <w:r w:rsidRPr="004040A5">
        <w:rPr>
          <w:rFonts w:ascii="Arial" w:hAnsi="Arial" w:cs="Arial"/>
          <w:sz w:val="20"/>
          <w:szCs w:val="20"/>
        </w:rPr>
        <w:t>. At the impact level, the annual parasite incidence i</w:t>
      </w:r>
      <w:r w:rsidR="004A245A" w:rsidRPr="004040A5">
        <w:rPr>
          <w:rFonts w:ascii="Arial" w:hAnsi="Arial" w:cs="Arial"/>
          <w:sz w:val="20"/>
          <w:szCs w:val="20"/>
        </w:rPr>
        <w:t>s expected to fall from the 2016</w:t>
      </w:r>
      <w:r w:rsidRPr="004040A5">
        <w:rPr>
          <w:rFonts w:ascii="Arial" w:hAnsi="Arial" w:cs="Arial"/>
          <w:sz w:val="20"/>
          <w:szCs w:val="20"/>
        </w:rPr>
        <w:t xml:space="preserve"> baseline of </w:t>
      </w:r>
      <w:r w:rsidR="004A245A" w:rsidRPr="004040A5">
        <w:rPr>
          <w:rFonts w:ascii="Arial" w:hAnsi="Arial" w:cs="Arial"/>
          <w:sz w:val="20"/>
          <w:szCs w:val="20"/>
        </w:rPr>
        <w:t>1.68</w:t>
      </w:r>
      <w:r w:rsidRPr="004040A5">
        <w:rPr>
          <w:rFonts w:ascii="Arial" w:hAnsi="Arial" w:cs="Arial"/>
          <w:sz w:val="20"/>
          <w:szCs w:val="20"/>
        </w:rPr>
        <w:t xml:space="preserve"> per 1,000 to 0.</w:t>
      </w:r>
      <w:r w:rsidR="00BB109D" w:rsidRPr="004040A5">
        <w:rPr>
          <w:rFonts w:ascii="Arial" w:hAnsi="Arial" w:cs="Arial"/>
          <w:sz w:val="20"/>
          <w:szCs w:val="20"/>
        </w:rPr>
        <w:t xml:space="preserve">67 </w:t>
      </w:r>
      <w:r w:rsidRPr="004040A5">
        <w:rPr>
          <w:rFonts w:ascii="Arial" w:hAnsi="Arial" w:cs="Arial"/>
          <w:sz w:val="20"/>
          <w:szCs w:val="20"/>
        </w:rPr>
        <w:t>per 1,000 in 2020and the number of inpatient malaria deaths per year is expected to fall from the 20</w:t>
      </w:r>
      <w:r w:rsidR="001A49D8" w:rsidRPr="004040A5">
        <w:rPr>
          <w:rFonts w:ascii="Arial" w:hAnsi="Arial" w:cs="Arial"/>
          <w:sz w:val="20"/>
          <w:szCs w:val="20"/>
        </w:rPr>
        <w:t>16</w:t>
      </w:r>
      <w:r w:rsidRPr="004040A5">
        <w:rPr>
          <w:rFonts w:ascii="Arial" w:hAnsi="Arial" w:cs="Arial"/>
          <w:sz w:val="20"/>
          <w:szCs w:val="20"/>
        </w:rPr>
        <w:t xml:space="preserve"> baseline of </w:t>
      </w:r>
      <w:r w:rsidR="00BB109D" w:rsidRPr="004040A5">
        <w:rPr>
          <w:rFonts w:ascii="Arial" w:hAnsi="Arial" w:cs="Arial"/>
          <w:sz w:val="20"/>
          <w:szCs w:val="20"/>
        </w:rPr>
        <w:t xml:space="preserve">17 </w:t>
      </w:r>
      <w:r w:rsidRPr="004040A5">
        <w:rPr>
          <w:rFonts w:ascii="Arial" w:hAnsi="Arial" w:cs="Arial"/>
          <w:sz w:val="20"/>
          <w:szCs w:val="20"/>
        </w:rPr>
        <w:t>to 6 in 2020.</w:t>
      </w:r>
      <w:r w:rsidRPr="00182F8D">
        <w:rPr>
          <w:rFonts w:ascii="Arial" w:hAnsi="Arial" w:cs="Arial"/>
          <w:sz w:val="20"/>
          <w:szCs w:val="20"/>
        </w:rPr>
        <w:t xml:space="preserve"> At the outcome level the proportion of the population that slept under an insecticide-treated net ‘the previous night’ is expected to </w:t>
      </w:r>
      <w:r w:rsidR="001A49D8" w:rsidRPr="004040A5">
        <w:rPr>
          <w:rFonts w:ascii="Arial" w:hAnsi="Arial" w:cs="Arial"/>
          <w:sz w:val="20"/>
          <w:szCs w:val="20"/>
        </w:rPr>
        <w:t>be maintained at above 90%</w:t>
      </w:r>
      <w:r w:rsidRPr="004040A5">
        <w:rPr>
          <w:rFonts w:ascii="Arial" w:hAnsi="Arial" w:cs="Arial"/>
          <w:sz w:val="20"/>
          <w:szCs w:val="20"/>
        </w:rPr>
        <w:t xml:space="preserve">. </w:t>
      </w:r>
    </w:p>
    <w:p w:rsidR="002032B9" w:rsidRPr="004040A5" w:rsidRDefault="002032B9" w:rsidP="00CF08AE">
      <w:pPr>
        <w:spacing w:before="120" w:after="120" w:line="240" w:lineRule="auto"/>
        <w:rPr>
          <w:rFonts w:ascii="Arial" w:hAnsi="Arial" w:cs="Arial"/>
          <w:sz w:val="20"/>
          <w:szCs w:val="20"/>
        </w:rPr>
      </w:pPr>
      <w:r w:rsidRPr="00182F8D">
        <w:rPr>
          <w:rFonts w:ascii="Arial" w:hAnsi="Arial" w:cs="Arial"/>
          <w:sz w:val="20"/>
          <w:szCs w:val="20"/>
        </w:rPr>
        <w:t>This increased programmatic impact is expected due in part to the consolidation of recent gains (e.g. maintaining and where necessary strengthening routine case management serv</w:t>
      </w:r>
      <w:r w:rsidRPr="004040A5">
        <w:rPr>
          <w:rFonts w:ascii="Arial" w:hAnsi="Arial" w:cs="Arial"/>
          <w:sz w:val="20"/>
          <w:szCs w:val="20"/>
        </w:rPr>
        <w:t xml:space="preserve">ices at health facilities and in communities and maintaining periodic mass distribution of LLINs, and in part to the innovative new strategies/delivery mechanisms described herein which target high burden hard to reach groups especially mobile groups and migrants (e.g. scale-up of community based and private sector case management approaches and introduction of carefully targeted continuous LLIN distribution channels). In addition to these efforts, which aim primarily to reduce the burden in higher incidence areas/groups the programme will re-orientate towards eliminating malaria in less endemic areas by focusing on elimination specific surveillance and associated case investigation and focus response operations. </w:t>
      </w:r>
    </w:p>
    <w:p w:rsidR="009C07B0" w:rsidRPr="004040A5" w:rsidRDefault="002032B9" w:rsidP="00CF08AE">
      <w:pPr>
        <w:rPr>
          <w:rFonts w:ascii="Arial" w:hAnsi="Arial" w:cs="Arial"/>
          <w:sz w:val="20"/>
          <w:szCs w:val="20"/>
        </w:rPr>
      </w:pPr>
      <w:r w:rsidRPr="00182F8D">
        <w:rPr>
          <w:rFonts w:ascii="Arial" w:hAnsi="Arial" w:cs="Arial"/>
          <w:sz w:val="20"/>
          <w:szCs w:val="20"/>
        </w:rPr>
        <w:t>The above allocation amounts will result in</w:t>
      </w:r>
      <w:r w:rsidRPr="004040A5">
        <w:rPr>
          <w:rFonts w:ascii="Arial" w:hAnsi="Arial" w:cs="Arial"/>
          <w:sz w:val="20"/>
          <w:szCs w:val="20"/>
        </w:rPr>
        <w:t>additional gains allowing the programme to extend its focus beyond just the absolute priority areas, characterized by higher incidence, to cover all endemic areas and support the programme as it moves towards its ultimate goal of malaria elimination.</w:t>
      </w:r>
    </w:p>
    <w:p w:rsidR="00840212" w:rsidRDefault="009C07B0" w:rsidP="00CF08AE">
      <w:pPr>
        <w:rPr>
          <w:rFonts w:ascii="Arial" w:hAnsi="Arial"/>
          <w:bCs/>
          <w:sz w:val="20"/>
          <w:szCs w:val="20"/>
        </w:rPr>
      </w:pPr>
      <w:r w:rsidRPr="004040A5">
        <w:rPr>
          <w:rFonts w:ascii="Arial" w:eastAsia="Calibri" w:hAnsi="Arial" w:cs="Arial"/>
          <w:sz w:val="20"/>
          <w:szCs w:val="20"/>
        </w:rPr>
        <w:t xml:space="preserve">b). </w:t>
      </w:r>
      <w:r w:rsidR="00FD2B19">
        <w:rPr>
          <w:rFonts w:ascii="Arial" w:eastAsia="Calibri" w:hAnsi="Arial" w:cs="Arial"/>
          <w:sz w:val="20"/>
          <w:szCs w:val="20"/>
        </w:rPr>
        <w:t>While t</w:t>
      </w:r>
      <w:r w:rsidR="00FD2B19" w:rsidRPr="006B7572">
        <w:rPr>
          <w:rFonts w:ascii="Arial" w:eastAsia="Calibri" w:hAnsi="Arial" w:cs="Arial"/>
          <w:sz w:val="20"/>
          <w:szCs w:val="20"/>
        </w:rPr>
        <w:t>h</w:t>
      </w:r>
      <w:r w:rsidR="00FD2B19">
        <w:rPr>
          <w:rFonts w:ascii="Arial" w:eastAsia="Calibri" w:hAnsi="Arial" w:cs="Arial"/>
          <w:sz w:val="20"/>
          <w:szCs w:val="20"/>
        </w:rPr>
        <w:t>is</w:t>
      </w:r>
      <w:r w:rsidR="00FD2B19" w:rsidRPr="006B7572">
        <w:rPr>
          <w:rFonts w:ascii="Arial" w:eastAsia="Calibri" w:hAnsi="Arial" w:cs="Arial"/>
          <w:sz w:val="20"/>
          <w:szCs w:val="20"/>
        </w:rPr>
        <w:t xml:space="preserve"> funding request addresses the key funding gaps reflected in the Funding Landsc</w:t>
      </w:r>
      <w:r w:rsidR="00451D34">
        <w:rPr>
          <w:rFonts w:ascii="Arial" w:eastAsia="Calibri" w:hAnsi="Arial" w:cs="Arial"/>
          <w:sz w:val="20"/>
          <w:szCs w:val="20"/>
        </w:rPr>
        <w:t>ape Table, significant gaps still remain. The overall gaps by year are presented in the funding source summary table in the NSP budget workbook. Column X in the detailed budget worksheet identifies specific gaps at the activity and sub-activity levels. The most significant of these are included in the above allocation request</w:t>
      </w:r>
      <w:r w:rsidR="00840212">
        <w:rPr>
          <w:rFonts w:ascii="Arial" w:eastAsia="Calibri" w:hAnsi="Arial" w:cs="Arial"/>
          <w:sz w:val="20"/>
          <w:szCs w:val="20"/>
        </w:rPr>
        <w:t xml:space="preserve"> (summarized in section 5.1 of this request below)</w:t>
      </w:r>
      <w:r w:rsidR="00451D34">
        <w:rPr>
          <w:rFonts w:ascii="Arial" w:eastAsia="Calibri" w:hAnsi="Arial" w:cs="Arial"/>
          <w:sz w:val="20"/>
          <w:szCs w:val="20"/>
        </w:rPr>
        <w:t xml:space="preserve">. </w:t>
      </w:r>
      <w:r w:rsidR="00FD2B19" w:rsidRPr="00684FC9">
        <w:rPr>
          <w:rFonts w:ascii="Arial" w:hAnsi="Arial"/>
          <w:bCs/>
          <w:sz w:val="20"/>
          <w:szCs w:val="20"/>
        </w:rPr>
        <w:t>The Go</w:t>
      </w:r>
      <w:r w:rsidR="00FD2B19">
        <w:rPr>
          <w:rFonts w:ascii="Arial" w:hAnsi="Arial"/>
          <w:bCs/>
          <w:sz w:val="20"/>
          <w:szCs w:val="20"/>
        </w:rPr>
        <w:t>B</w:t>
      </w:r>
      <w:r w:rsidR="00FD2B19" w:rsidRPr="00684FC9">
        <w:rPr>
          <w:rFonts w:ascii="Arial" w:hAnsi="Arial"/>
          <w:bCs/>
          <w:sz w:val="20"/>
          <w:szCs w:val="20"/>
        </w:rPr>
        <w:t xml:space="preserve"> will lobby </w:t>
      </w:r>
      <w:r w:rsidR="00840212">
        <w:rPr>
          <w:rFonts w:ascii="Arial" w:hAnsi="Arial"/>
          <w:bCs/>
          <w:sz w:val="20"/>
          <w:szCs w:val="20"/>
        </w:rPr>
        <w:t>potential additional</w:t>
      </w:r>
      <w:r w:rsidR="00FD2B19" w:rsidRPr="00684FC9">
        <w:rPr>
          <w:rFonts w:ascii="Arial" w:hAnsi="Arial"/>
          <w:bCs/>
          <w:sz w:val="20"/>
          <w:szCs w:val="20"/>
        </w:rPr>
        <w:t xml:space="preserve"> funding partners for support to fill </w:t>
      </w:r>
      <w:r w:rsidR="00840212">
        <w:rPr>
          <w:rFonts w:ascii="Arial" w:hAnsi="Arial"/>
          <w:bCs/>
          <w:sz w:val="20"/>
          <w:szCs w:val="20"/>
        </w:rPr>
        <w:t xml:space="preserve">all of </w:t>
      </w:r>
      <w:r w:rsidR="00FD2B19" w:rsidRPr="00684FC9">
        <w:rPr>
          <w:rFonts w:ascii="Arial" w:hAnsi="Arial"/>
          <w:bCs/>
          <w:sz w:val="20"/>
          <w:szCs w:val="20"/>
        </w:rPr>
        <w:t>the</w:t>
      </w:r>
      <w:r w:rsidR="00840212">
        <w:rPr>
          <w:rFonts w:ascii="Arial" w:hAnsi="Arial"/>
          <w:bCs/>
          <w:sz w:val="20"/>
          <w:szCs w:val="20"/>
        </w:rPr>
        <w:t xml:space="preserve"> funding gaps identified</w:t>
      </w:r>
      <w:r w:rsidR="00FD2B19" w:rsidRPr="00684FC9">
        <w:rPr>
          <w:rFonts w:ascii="Arial" w:hAnsi="Arial"/>
          <w:bCs/>
          <w:sz w:val="20"/>
          <w:szCs w:val="20"/>
        </w:rPr>
        <w:t>. Particularly after TRP comments have been satisfactorily addressed, th</w:t>
      </w:r>
      <w:r w:rsidR="00FD2B19">
        <w:rPr>
          <w:rFonts w:ascii="Arial" w:hAnsi="Arial"/>
          <w:bCs/>
          <w:sz w:val="20"/>
          <w:szCs w:val="20"/>
        </w:rPr>
        <w:t>isfunding request itself, and the associated fully-costed national strategic plan</w:t>
      </w:r>
      <w:r w:rsidR="00840212">
        <w:rPr>
          <w:rFonts w:ascii="Arial" w:hAnsi="Arial"/>
          <w:bCs/>
          <w:sz w:val="20"/>
          <w:szCs w:val="20"/>
        </w:rPr>
        <w:t>,</w:t>
      </w:r>
      <w:r w:rsidR="00FD2B19" w:rsidRPr="00684FC9">
        <w:rPr>
          <w:rFonts w:ascii="Arial" w:hAnsi="Arial"/>
          <w:bCs/>
          <w:sz w:val="20"/>
          <w:szCs w:val="20"/>
        </w:rPr>
        <w:t>will provide valuable framework</w:t>
      </w:r>
      <w:r w:rsidR="00FD2B19">
        <w:rPr>
          <w:rFonts w:ascii="Arial" w:hAnsi="Arial"/>
          <w:bCs/>
          <w:sz w:val="20"/>
          <w:szCs w:val="20"/>
        </w:rPr>
        <w:t>s</w:t>
      </w:r>
      <w:r w:rsidR="00FD2B19" w:rsidRPr="00684FC9">
        <w:rPr>
          <w:rFonts w:ascii="Arial" w:hAnsi="Arial"/>
          <w:bCs/>
          <w:sz w:val="20"/>
          <w:szCs w:val="20"/>
        </w:rPr>
        <w:t xml:space="preserve"> with which to approach other potential funding partners. In addition G</w:t>
      </w:r>
      <w:r w:rsidR="00FD2B19">
        <w:rPr>
          <w:rFonts w:ascii="Arial" w:hAnsi="Arial"/>
          <w:bCs/>
          <w:sz w:val="20"/>
          <w:szCs w:val="20"/>
        </w:rPr>
        <w:t>oB</w:t>
      </w:r>
      <w:r w:rsidR="00FD2B19" w:rsidRPr="00684FC9">
        <w:rPr>
          <w:rFonts w:ascii="Arial" w:hAnsi="Arial"/>
          <w:bCs/>
          <w:sz w:val="20"/>
          <w:szCs w:val="20"/>
        </w:rPr>
        <w:t xml:space="preserve"> will approach private sector stakeholders to encourage investments </w:t>
      </w:r>
      <w:r w:rsidR="00840212">
        <w:rPr>
          <w:rFonts w:ascii="Arial" w:hAnsi="Arial"/>
          <w:bCs/>
          <w:sz w:val="20"/>
          <w:szCs w:val="20"/>
        </w:rPr>
        <w:t>related to</w:t>
      </w:r>
      <w:r w:rsidR="00FD2B19" w:rsidRPr="00684FC9">
        <w:rPr>
          <w:rFonts w:ascii="Arial" w:hAnsi="Arial"/>
          <w:bCs/>
          <w:sz w:val="20"/>
          <w:szCs w:val="20"/>
        </w:rPr>
        <w:t xml:space="preserve"> corporate social responsibility. NM</w:t>
      </w:r>
      <w:r w:rsidR="00FD2B19">
        <w:rPr>
          <w:rFonts w:ascii="Arial" w:hAnsi="Arial"/>
          <w:bCs/>
          <w:sz w:val="20"/>
          <w:szCs w:val="20"/>
        </w:rPr>
        <w:t>E</w:t>
      </w:r>
      <w:r w:rsidR="00FD2B19" w:rsidRPr="00684FC9">
        <w:rPr>
          <w:rFonts w:ascii="Arial" w:hAnsi="Arial"/>
          <w:bCs/>
          <w:sz w:val="20"/>
          <w:szCs w:val="20"/>
        </w:rPr>
        <w:t xml:space="preserve">P partners may </w:t>
      </w:r>
      <w:r w:rsidR="00840212">
        <w:rPr>
          <w:rFonts w:ascii="Arial" w:hAnsi="Arial"/>
          <w:bCs/>
          <w:sz w:val="20"/>
          <w:szCs w:val="20"/>
        </w:rPr>
        <w:t xml:space="preserve">also </w:t>
      </w:r>
      <w:r w:rsidR="00FD2B19" w:rsidRPr="00684FC9">
        <w:rPr>
          <w:rFonts w:ascii="Arial" w:hAnsi="Arial"/>
          <w:bCs/>
          <w:sz w:val="20"/>
          <w:szCs w:val="20"/>
        </w:rPr>
        <w:t>apply for project-based additional funding</w:t>
      </w:r>
      <w:r w:rsidR="00840212">
        <w:rPr>
          <w:rFonts w:ascii="Arial" w:hAnsi="Arial"/>
          <w:bCs/>
          <w:sz w:val="20"/>
          <w:szCs w:val="20"/>
        </w:rPr>
        <w:t xml:space="preserve"> as opportunities arise</w:t>
      </w:r>
      <w:r w:rsidR="00FD2B19" w:rsidRPr="00684FC9">
        <w:rPr>
          <w:rFonts w:ascii="Arial" w:hAnsi="Arial"/>
          <w:bCs/>
          <w:sz w:val="20"/>
          <w:szCs w:val="20"/>
        </w:rPr>
        <w:t xml:space="preserve">. </w:t>
      </w:r>
    </w:p>
    <w:p w:rsidR="00042DCA" w:rsidRPr="004040A5" w:rsidRDefault="00042DCA" w:rsidP="00CF08AE">
      <w:pPr>
        <w:rPr>
          <w:rFonts w:ascii="Arial" w:hAnsi="Arial" w:cs="Arial"/>
          <w:sz w:val="20"/>
          <w:szCs w:val="20"/>
        </w:rPr>
      </w:pP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6975"/>
        <w:gridCol w:w="1957"/>
      </w:tblGrid>
      <w:tr w:rsidR="00042DCA" w:rsidRPr="006B7572" w:rsidTr="00FE411C">
        <w:trPr>
          <w:trHeight w:val="274"/>
        </w:trPr>
        <w:tc>
          <w:tcPr>
            <w:tcW w:w="8932" w:type="dxa"/>
            <w:gridSpan w:val="2"/>
            <w:shd w:val="clear" w:color="auto" w:fill="C6D9F1"/>
          </w:tcPr>
          <w:p w:rsidR="00042DCA" w:rsidRPr="006B7572" w:rsidRDefault="00042DCA" w:rsidP="00042DCA">
            <w:pPr>
              <w:spacing w:before="120" w:after="120" w:line="240" w:lineRule="auto"/>
              <w:jc w:val="both"/>
              <w:rPr>
                <w:rFonts w:ascii="Arial" w:eastAsia="Calibri" w:hAnsi="Arial" w:cs="Arial"/>
                <w:b/>
                <w:bCs/>
                <w:sz w:val="20"/>
                <w:szCs w:val="20"/>
                <w:lang w:val="en-US"/>
              </w:rPr>
            </w:pPr>
            <w:r w:rsidRPr="006B7572">
              <w:rPr>
                <w:rFonts w:ascii="Arial" w:eastAsia="Calibri" w:hAnsi="Arial" w:cs="Arial"/>
                <w:b/>
                <w:bCs/>
                <w:sz w:val="20"/>
                <w:szCs w:val="20"/>
                <w:lang w:val="en-US"/>
              </w:rPr>
              <w:lastRenderedPageBreak/>
              <w:t>2.2 RSSH funding request</w:t>
            </w:r>
          </w:p>
        </w:tc>
      </w:tr>
      <w:tr w:rsidR="00042DCA" w:rsidRPr="006B7572" w:rsidTr="00FE411C">
        <w:trPr>
          <w:trHeight w:val="274"/>
        </w:trPr>
        <w:tc>
          <w:tcPr>
            <w:tcW w:w="8932" w:type="dxa"/>
            <w:gridSpan w:val="2"/>
            <w:shd w:val="clear" w:color="auto" w:fill="F2F2F2" w:themeFill="background1" w:themeFillShade="F2"/>
          </w:tcPr>
          <w:p w:rsidR="00042DCA" w:rsidRPr="006B7572" w:rsidRDefault="00005E61" w:rsidP="00A00AE8">
            <w:pPr>
              <w:spacing w:before="120" w:after="120" w:line="240" w:lineRule="auto"/>
              <w:jc w:val="both"/>
              <w:rPr>
                <w:rFonts w:ascii="Arial" w:eastAsia="Calibri" w:hAnsi="Arial" w:cs="Arial"/>
                <w:bCs/>
                <w:sz w:val="20"/>
                <w:szCs w:val="20"/>
                <w:lang w:val="en-US"/>
              </w:rPr>
            </w:pPr>
            <w:r w:rsidRPr="006B7572">
              <w:rPr>
                <w:rFonts w:ascii="Arial" w:eastAsia="Calibri" w:hAnsi="Arial" w:cs="Arial"/>
                <w:bCs/>
                <w:sz w:val="20"/>
                <w:szCs w:val="20"/>
                <w:lang w:val="en-US"/>
              </w:rPr>
              <w:t>The Global Fund strongly encourages funding requests for RSSH investments</w:t>
            </w:r>
            <w:r w:rsidR="00931EBA" w:rsidRPr="006B7572">
              <w:rPr>
                <w:rFonts w:ascii="Arial" w:eastAsia="Calibri" w:hAnsi="Arial" w:cs="Arial"/>
                <w:bCs/>
                <w:sz w:val="20"/>
                <w:szCs w:val="20"/>
                <w:lang w:val="en-US"/>
              </w:rPr>
              <w:t xml:space="preserve"> to be submitted</w:t>
            </w:r>
            <w:r w:rsidR="00977EA5" w:rsidRPr="006B7572">
              <w:rPr>
                <w:rFonts w:ascii="Arial" w:eastAsia="Calibri" w:hAnsi="Arial" w:cs="Arial"/>
                <w:bCs/>
                <w:sz w:val="20"/>
                <w:szCs w:val="20"/>
                <w:lang w:val="en-US"/>
              </w:rPr>
              <w:t>with</w:t>
            </w:r>
            <w:r w:rsidRPr="006B7572">
              <w:rPr>
                <w:rFonts w:ascii="Arial" w:eastAsia="Calibri" w:hAnsi="Arial" w:cs="Arial"/>
                <w:bCs/>
                <w:sz w:val="20"/>
                <w:szCs w:val="20"/>
                <w:lang w:val="en-US"/>
              </w:rPr>
              <w:t>in</w:t>
            </w:r>
            <w:r w:rsidR="00977EA5" w:rsidRPr="006B7572">
              <w:rPr>
                <w:rFonts w:ascii="Arial" w:eastAsia="Calibri" w:hAnsi="Arial" w:cs="Arial"/>
                <w:bCs/>
                <w:sz w:val="20"/>
                <w:szCs w:val="20"/>
                <w:lang w:val="en-US"/>
              </w:rPr>
              <w:t xml:space="preserve"> a</w:t>
            </w:r>
            <w:r w:rsidR="00977EA5" w:rsidRPr="006B7572">
              <w:rPr>
                <w:rFonts w:ascii="Arial" w:eastAsia="Calibri" w:hAnsi="Arial" w:cs="Arial"/>
                <w:b/>
                <w:bCs/>
                <w:i/>
                <w:sz w:val="20"/>
                <w:szCs w:val="20"/>
                <w:lang w:val="en-US"/>
              </w:rPr>
              <w:t>single</w:t>
            </w:r>
            <w:r w:rsidRPr="006B7572">
              <w:rPr>
                <w:rFonts w:ascii="Arial" w:eastAsia="Calibri" w:hAnsi="Arial" w:cs="Arial"/>
                <w:bCs/>
                <w:sz w:val="20"/>
                <w:szCs w:val="20"/>
                <w:lang w:val="en-US"/>
              </w:rPr>
              <w:t>application</w:t>
            </w:r>
            <w:r w:rsidR="00931EBA" w:rsidRPr="006B7572">
              <w:rPr>
                <w:rFonts w:ascii="Arial" w:eastAsia="Calibri" w:hAnsi="Arial" w:cs="Arial"/>
                <w:bCs/>
                <w:sz w:val="20"/>
                <w:szCs w:val="20"/>
                <w:lang w:val="en-US"/>
              </w:rPr>
              <w:t xml:space="preserve">, and preferably </w:t>
            </w:r>
            <w:r w:rsidR="00EF5244" w:rsidRPr="006B7572">
              <w:rPr>
                <w:rFonts w:ascii="Arial" w:eastAsia="Calibri" w:hAnsi="Arial" w:cs="Arial"/>
                <w:bCs/>
                <w:sz w:val="20"/>
                <w:szCs w:val="20"/>
                <w:lang w:val="en-US"/>
              </w:rPr>
              <w:t xml:space="preserve">to be </w:t>
            </w:r>
            <w:r w:rsidR="00931EBA" w:rsidRPr="006B7572">
              <w:rPr>
                <w:rFonts w:ascii="Arial" w:eastAsia="Calibri" w:hAnsi="Arial" w:cs="Arial"/>
                <w:bCs/>
                <w:sz w:val="20"/>
                <w:szCs w:val="20"/>
                <w:lang w:val="en-US"/>
              </w:rPr>
              <w:t xml:space="preserve">requested in the first submission. </w:t>
            </w:r>
          </w:p>
        </w:tc>
      </w:tr>
      <w:tr w:rsidR="00042DCA" w:rsidRPr="006B7572" w:rsidTr="00FE411C">
        <w:trPr>
          <w:trHeight w:val="274"/>
        </w:trPr>
        <w:tc>
          <w:tcPr>
            <w:tcW w:w="6975" w:type="dxa"/>
            <w:shd w:val="clear" w:color="auto" w:fill="F2F2F2" w:themeFill="background1" w:themeFillShade="F2"/>
          </w:tcPr>
          <w:p w:rsidR="00042DCA" w:rsidRPr="006B7572" w:rsidRDefault="00042DCA" w:rsidP="00A5131D">
            <w:pPr>
              <w:spacing w:before="120" w:after="120" w:line="240" w:lineRule="auto"/>
              <w:jc w:val="both"/>
              <w:rPr>
                <w:rFonts w:ascii="Arial" w:eastAsia="Calibri" w:hAnsi="Arial" w:cs="Arial"/>
                <w:b/>
                <w:bCs/>
                <w:sz w:val="20"/>
                <w:szCs w:val="20"/>
                <w:lang w:val="en-US"/>
              </w:rPr>
            </w:pPr>
            <w:r w:rsidRPr="006B7572">
              <w:rPr>
                <w:rFonts w:ascii="Arial" w:eastAsia="Calibri" w:hAnsi="Arial" w:cs="Arial"/>
                <w:b/>
                <w:bCs/>
                <w:sz w:val="20"/>
                <w:szCs w:val="20"/>
                <w:lang w:val="en-US"/>
              </w:rPr>
              <w:t xml:space="preserve">Does this funding request include </w:t>
            </w:r>
            <w:r w:rsidR="00A5131D" w:rsidRPr="006B7572">
              <w:rPr>
                <w:rFonts w:ascii="Arial" w:eastAsia="Calibri" w:hAnsi="Arial" w:cs="Arial"/>
                <w:b/>
                <w:bCs/>
                <w:sz w:val="20"/>
                <w:szCs w:val="20"/>
                <w:lang w:val="en-US"/>
              </w:rPr>
              <w:t xml:space="preserve">an </w:t>
            </w:r>
            <w:r w:rsidRPr="006B7572">
              <w:rPr>
                <w:rFonts w:ascii="Arial" w:eastAsia="Calibri" w:hAnsi="Arial" w:cs="Arial"/>
                <w:b/>
                <w:bCs/>
                <w:sz w:val="20"/>
                <w:szCs w:val="20"/>
                <w:lang w:val="en-US"/>
              </w:rPr>
              <w:t>RSSH component?</w:t>
            </w:r>
          </w:p>
        </w:tc>
        <w:tc>
          <w:tcPr>
            <w:tcW w:w="1957" w:type="dxa"/>
            <w:shd w:val="clear" w:color="auto" w:fill="FFFFFF"/>
          </w:tcPr>
          <w:p w:rsidR="00042DCA" w:rsidRPr="006B7572" w:rsidRDefault="00817B52" w:rsidP="00042DCA">
            <w:pPr>
              <w:spacing w:before="120" w:after="120" w:line="240" w:lineRule="auto"/>
              <w:jc w:val="both"/>
              <w:rPr>
                <w:rFonts w:ascii="Arial" w:eastAsia="Calibri" w:hAnsi="Arial" w:cs="Arial"/>
                <w:b/>
                <w:bCs/>
                <w:sz w:val="20"/>
                <w:szCs w:val="20"/>
                <w:lang w:val="en-US"/>
              </w:rPr>
            </w:pPr>
            <w:sdt>
              <w:sdtPr>
                <w:rPr>
                  <w:rFonts w:ascii="Arial" w:eastAsia="Calibri" w:hAnsi="Arial" w:cs="Arial"/>
                  <w:bCs/>
                  <w:iCs/>
                  <w:color w:val="D9D9D9" w:themeColor="background1" w:themeShade="D9"/>
                  <w:sz w:val="20"/>
                  <w:szCs w:val="20"/>
                  <w:lang w:val="en-US"/>
                </w:rPr>
                <w:id w:val="972409926"/>
              </w:sdtPr>
              <w:sdtContent>
                <w:r w:rsidR="00042DCA" w:rsidRPr="004040A5">
                  <w:rPr>
                    <w:rFonts w:ascii="Segoe UI Symbol" w:eastAsia="Calibri" w:hAnsi="Segoe UI Symbol" w:cs="Segoe UI Symbol"/>
                    <w:bCs/>
                    <w:iCs/>
                    <w:color w:val="D9D9D9" w:themeColor="background1" w:themeShade="D9"/>
                    <w:sz w:val="20"/>
                    <w:szCs w:val="20"/>
                    <w:lang w:val="en-US"/>
                  </w:rPr>
                  <w:t>☐</w:t>
                </w:r>
              </w:sdtContent>
            </w:sdt>
            <w:r w:rsidR="00042DCA" w:rsidRPr="004040A5">
              <w:rPr>
                <w:rFonts w:ascii="Arial" w:eastAsia="Calibri" w:hAnsi="Arial" w:cs="Arial"/>
                <w:bCs/>
                <w:iCs/>
                <w:color w:val="D9D9D9" w:themeColor="background1" w:themeShade="D9"/>
                <w:sz w:val="20"/>
                <w:szCs w:val="20"/>
                <w:lang w:val="en-US"/>
              </w:rPr>
              <w:t>Yes</w:t>
            </w:r>
            <w:sdt>
              <w:sdtPr>
                <w:rPr>
                  <w:rFonts w:ascii="Arial" w:eastAsia="Calibri" w:hAnsi="Arial" w:cs="Arial"/>
                  <w:b/>
                  <w:bCs/>
                  <w:iCs/>
                  <w:sz w:val="20"/>
                  <w:szCs w:val="20"/>
                  <w:lang w:val="en-US"/>
                </w:rPr>
                <w:id w:val="-254750880"/>
              </w:sdtPr>
              <w:sdtContent>
                <w:r w:rsidR="00D84739" w:rsidRPr="004040A5">
                  <w:rPr>
                    <w:rFonts w:ascii="MS Gothic" w:eastAsia="MS Gothic" w:hAnsi="MS Gothic" w:cs="Arial" w:hint="eastAsia"/>
                    <w:b/>
                    <w:bCs/>
                    <w:iCs/>
                    <w:sz w:val="20"/>
                    <w:szCs w:val="20"/>
                    <w:lang w:val="en-US"/>
                  </w:rPr>
                  <w:t>☒</w:t>
                </w:r>
              </w:sdtContent>
            </w:sdt>
            <w:r w:rsidR="00042DCA" w:rsidRPr="004040A5">
              <w:rPr>
                <w:rFonts w:ascii="Arial" w:eastAsia="Calibri" w:hAnsi="Arial" w:cs="Arial"/>
                <w:b/>
                <w:bCs/>
                <w:iCs/>
                <w:sz w:val="20"/>
                <w:szCs w:val="20"/>
                <w:lang w:val="en-US"/>
              </w:rPr>
              <w:t xml:space="preserve"> No</w:t>
            </w:r>
          </w:p>
        </w:tc>
      </w:tr>
      <w:tr w:rsidR="00042DCA" w:rsidRPr="006B7572" w:rsidTr="00FE411C">
        <w:trPr>
          <w:trHeight w:val="2818"/>
        </w:trPr>
        <w:tc>
          <w:tcPr>
            <w:tcW w:w="8932" w:type="dxa"/>
            <w:gridSpan w:val="2"/>
            <w:shd w:val="clear" w:color="auto" w:fill="F2F2F2" w:themeFill="background1" w:themeFillShade="F2"/>
            <w:vAlign w:val="center"/>
          </w:tcPr>
          <w:p w:rsidR="0011786E" w:rsidRPr="00096485" w:rsidRDefault="00042DCA" w:rsidP="00F57EBD">
            <w:pPr>
              <w:spacing w:line="276" w:lineRule="auto"/>
              <w:rPr>
                <w:rFonts w:ascii="Arial" w:eastAsia="Calibri" w:hAnsi="Arial" w:cs="Arial"/>
                <w:color w:val="BFBFBF" w:themeColor="background1" w:themeShade="BF"/>
                <w:sz w:val="20"/>
                <w:szCs w:val="20"/>
                <w:lang w:val="en-US"/>
              </w:rPr>
            </w:pPr>
            <w:r w:rsidRPr="00096485">
              <w:rPr>
                <w:rFonts w:ascii="Arial" w:eastAsia="Calibri" w:hAnsi="Arial" w:cs="Arial"/>
                <w:b/>
                <w:color w:val="BFBFBF" w:themeColor="background1" w:themeShade="BF"/>
                <w:sz w:val="20"/>
                <w:szCs w:val="20"/>
                <w:lang w:val="en-US"/>
              </w:rPr>
              <w:t>If yes</w:t>
            </w:r>
            <w:r w:rsidRPr="00096485">
              <w:rPr>
                <w:rFonts w:ascii="Arial" w:eastAsia="Calibri" w:hAnsi="Arial" w:cs="Arial"/>
                <w:color w:val="BFBFBF" w:themeColor="background1" w:themeShade="BF"/>
                <w:sz w:val="20"/>
                <w:szCs w:val="20"/>
                <w:lang w:val="en-US"/>
              </w:rPr>
              <w:t xml:space="preserve">, </w:t>
            </w:r>
            <w:r w:rsidR="00DD5B65" w:rsidRPr="00096485">
              <w:rPr>
                <w:rFonts w:ascii="Arial" w:eastAsia="Calibri" w:hAnsi="Arial" w:cs="Arial"/>
                <w:color w:val="BFBFBF" w:themeColor="background1" w:themeShade="BF"/>
                <w:sz w:val="20"/>
                <w:szCs w:val="20"/>
                <w:lang w:val="en-US"/>
              </w:rPr>
              <w:t xml:space="preserve">describe the request </w:t>
            </w:r>
            <w:r w:rsidR="008718A5" w:rsidRPr="00096485">
              <w:rPr>
                <w:rFonts w:ascii="Arial" w:eastAsia="Calibri" w:hAnsi="Arial" w:cs="Arial"/>
                <w:color w:val="BFBFBF" w:themeColor="background1" w:themeShade="BF"/>
                <w:sz w:val="20"/>
                <w:szCs w:val="20"/>
                <w:lang w:val="en-US"/>
              </w:rPr>
              <w:t xml:space="preserve">below </w:t>
            </w:r>
            <w:r w:rsidR="00DD5B65" w:rsidRPr="00096485">
              <w:rPr>
                <w:rFonts w:ascii="Arial" w:eastAsia="Calibri" w:hAnsi="Arial" w:cs="Arial"/>
                <w:color w:val="BFBFBF" w:themeColor="background1" w:themeShade="BF"/>
                <w:sz w:val="20"/>
                <w:szCs w:val="20"/>
                <w:lang w:val="en-US"/>
              </w:rPr>
              <w:t>and how it is strategically targeted</w:t>
            </w:r>
            <w:r w:rsidR="00931EBA" w:rsidRPr="00096485">
              <w:rPr>
                <w:rFonts w:ascii="Arial" w:eastAsia="Calibri" w:hAnsi="Arial" w:cs="Arial"/>
                <w:color w:val="BFBFBF" w:themeColor="background1" w:themeShade="BF"/>
                <w:sz w:val="20"/>
                <w:szCs w:val="20"/>
                <w:lang w:val="en-US"/>
              </w:rPr>
              <w:t>.</w:t>
            </w:r>
          </w:p>
          <w:p w:rsidR="00F57EBD" w:rsidRPr="00096485" w:rsidRDefault="00F57EBD" w:rsidP="00A00AE8">
            <w:pPr>
              <w:spacing w:line="276" w:lineRule="auto"/>
              <w:jc w:val="both"/>
              <w:rPr>
                <w:rFonts w:ascii="Arial" w:eastAsia="Calibri" w:hAnsi="Arial" w:cs="Arial"/>
                <w:color w:val="BFBFBF" w:themeColor="background1" w:themeShade="BF"/>
                <w:sz w:val="20"/>
                <w:szCs w:val="20"/>
                <w:lang w:val="en-US"/>
              </w:rPr>
            </w:pPr>
            <w:r w:rsidRPr="00096485">
              <w:rPr>
                <w:rFonts w:ascii="Arial" w:eastAsia="Calibri" w:hAnsi="Arial" w:cs="Arial"/>
                <w:color w:val="BFBFBF" w:themeColor="background1" w:themeShade="BF"/>
                <w:sz w:val="20"/>
                <w:szCs w:val="20"/>
                <w:lang w:val="en-US"/>
              </w:rPr>
              <w:t>Referring to the national health strategy, gaps and lessons learned outlined in the previous section, describe the funding request for RSSH and how the investment is strategically targeted to strengthen systems for health and achieve greater impact on the diseases. In your explanation, refer to the Funding Landscape Table on ‘government health spending’, Performance Framework and Budget as appropriate. Note that it is optional to complete a Programmatic Gap Table for RSSH.</w:t>
            </w:r>
          </w:p>
          <w:p w:rsidR="00042DCA" w:rsidRPr="006B7572" w:rsidRDefault="001631BD" w:rsidP="00F57EBD">
            <w:pPr>
              <w:spacing w:before="240" w:after="0" w:line="276" w:lineRule="auto"/>
              <w:rPr>
                <w:rFonts w:ascii="Arial" w:eastAsia="Calibri" w:hAnsi="Arial" w:cs="Arial"/>
                <w:b/>
                <w:sz w:val="20"/>
                <w:szCs w:val="20"/>
                <w:lang w:val="en-US"/>
              </w:rPr>
            </w:pPr>
            <w:r w:rsidRPr="00096485">
              <w:rPr>
                <w:rFonts w:ascii="Arial" w:eastAsia="Calibri" w:hAnsi="Arial" w:cs="Arial"/>
                <w:b/>
                <w:color w:val="BFBFBF" w:themeColor="background1" w:themeShade="BF"/>
                <w:sz w:val="20"/>
                <w:szCs w:val="20"/>
                <w:lang w:val="en-US"/>
              </w:rPr>
              <w:t>(maximum</w:t>
            </w:r>
            <w:r w:rsidR="00C43F4F" w:rsidRPr="00096485">
              <w:rPr>
                <w:rFonts w:ascii="Arial" w:eastAsia="Calibri" w:hAnsi="Arial" w:cs="Arial"/>
                <w:b/>
                <w:color w:val="BFBFBF" w:themeColor="background1" w:themeShade="BF"/>
                <w:sz w:val="20"/>
                <w:szCs w:val="20"/>
                <w:lang w:val="en-US"/>
              </w:rPr>
              <w:t xml:space="preserve"> 3</w:t>
            </w:r>
            <w:r w:rsidR="00042DCA" w:rsidRPr="00096485">
              <w:rPr>
                <w:rFonts w:ascii="Arial" w:eastAsia="Calibri" w:hAnsi="Arial" w:cs="Arial"/>
                <w:b/>
                <w:color w:val="BFBFBF" w:themeColor="background1" w:themeShade="BF"/>
                <w:sz w:val="20"/>
                <w:szCs w:val="20"/>
                <w:lang w:val="en-US"/>
              </w:rPr>
              <w:t xml:space="preserve"> pages)</w:t>
            </w:r>
          </w:p>
        </w:tc>
      </w:tr>
    </w:tbl>
    <w:p w:rsidR="00042DCA" w:rsidRPr="006B7572" w:rsidRDefault="002D19E8" w:rsidP="00042DCA">
      <w:pPr>
        <w:spacing w:before="240"/>
        <w:rPr>
          <w:rFonts w:ascii="Arial" w:hAnsi="Arial" w:cs="Arial"/>
          <w:sz w:val="20"/>
          <w:szCs w:val="20"/>
          <w:lang w:val="en-US"/>
        </w:rPr>
      </w:pPr>
      <w:r w:rsidRPr="004040A5">
        <w:rPr>
          <w:rFonts w:ascii="Arial" w:hAnsi="Arial" w:cs="Arial"/>
          <w:color w:val="D9D9D9" w:themeColor="background1" w:themeShade="D9"/>
          <w:sz w:val="20"/>
          <w:szCs w:val="20"/>
        </w:rPr>
        <w:t>[</w:t>
      </w:r>
      <w:r w:rsidR="00042DCA" w:rsidRPr="004040A5">
        <w:rPr>
          <w:rFonts w:ascii="Arial" w:hAnsi="Arial" w:cs="Arial"/>
          <w:i/>
          <w:color w:val="D9D9D9" w:themeColor="background1" w:themeShade="D9"/>
          <w:sz w:val="20"/>
          <w:szCs w:val="20"/>
        </w:rPr>
        <w:t>Applicant response</w:t>
      </w:r>
      <w:r w:rsidRPr="004040A5">
        <w:rPr>
          <w:rFonts w:ascii="Arial" w:hAnsi="Arial" w:cs="Arial"/>
          <w:color w:val="D9D9D9" w:themeColor="background1" w:themeShade="D9"/>
          <w:sz w:val="20"/>
          <w:szCs w:val="20"/>
        </w:rPr>
        <w:t>]</w:t>
      </w:r>
      <w:r w:rsidR="00042DCA" w:rsidRPr="004040A5">
        <w:rPr>
          <w:rFonts w:ascii="Arial" w:hAnsi="Arial" w:cs="Arial"/>
          <w:color w:val="D9D9D9" w:themeColor="background1" w:themeShade="D9"/>
          <w:sz w:val="20"/>
          <w:szCs w:val="20"/>
        </w:rPr>
        <w:t>:</w:t>
      </w: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8932"/>
      </w:tblGrid>
      <w:tr w:rsidR="00042DCA" w:rsidRPr="006B7572" w:rsidTr="00FE411C">
        <w:trPr>
          <w:trHeight w:val="1990"/>
        </w:trPr>
        <w:tc>
          <w:tcPr>
            <w:tcW w:w="8932" w:type="dxa"/>
            <w:shd w:val="clear" w:color="auto" w:fill="F2F2F2" w:themeFill="background1" w:themeFillShade="F2"/>
            <w:vAlign w:val="center"/>
          </w:tcPr>
          <w:p w:rsidR="00042DCA" w:rsidRPr="006B7572" w:rsidRDefault="00042DCA" w:rsidP="0000536F">
            <w:pPr>
              <w:spacing w:after="0" w:line="276" w:lineRule="auto"/>
              <w:rPr>
                <w:rFonts w:ascii="Arial" w:eastAsia="Calibri" w:hAnsi="Arial" w:cs="Arial"/>
                <w:sz w:val="20"/>
                <w:szCs w:val="20"/>
                <w:lang w:val="en-US"/>
              </w:rPr>
            </w:pPr>
            <w:r w:rsidRPr="006B7572">
              <w:rPr>
                <w:rFonts w:ascii="Arial" w:eastAsia="Calibri" w:hAnsi="Arial" w:cs="Arial"/>
                <w:b/>
                <w:sz w:val="20"/>
                <w:szCs w:val="20"/>
                <w:lang w:val="en-US"/>
              </w:rPr>
              <w:t>If no</w:t>
            </w:r>
            <w:r w:rsidR="00F57EBD" w:rsidRPr="006B7572">
              <w:rPr>
                <w:rFonts w:ascii="Arial" w:eastAsia="Calibri" w:hAnsi="Arial" w:cs="Arial"/>
                <w:sz w:val="20"/>
                <w:szCs w:val="20"/>
                <w:lang w:val="en-US"/>
              </w:rPr>
              <w:t>:</w:t>
            </w:r>
          </w:p>
          <w:p w:rsidR="00F57EBD" w:rsidRPr="006B7572" w:rsidRDefault="00F57EBD" w:rsidP="007205D8">
            <w:pPr>
              <w:pStyle w:val="ListParagraph"/>
              <w:numPr>
                <w:ilvl w:val="0"/>
                <w:numId w:val="4"/>
              </w:numPr>
              <w:spacing w:after="200" w:line="276" w:lineRule="auto"/>
              <w:jc w:val="both"/>
              <w:rPr>
                <w:rFonts w:ascii="Arial" w:eastAsia="Calibri" w:hAnsi="Arial" w:cs="Arial"/>
                <w:sz w:val="20"/>
                <w:szCs w:val="20"/>
                <w:lang w:val="en-US"/>
              </w:rPr>
            </w:pPr>
            <w:r w:rsidRPr="006B7572">
              <w:rPr>
                <w:rFonts w:ascii="Arial" w:eastAsia="Calibri" w:hAnsi="Arial" w:cs="Arial"/>
                <w:sz w:val="20"/>
                <w:szCs w:val="20"/>
                <w:lang w:val="en-US"/>
              </w:rPr>
              <w:t xml:space="preserve">Indicate </w:t>
            </w:r>
            <w:r w:rsidR="00A00AE8" w:rsidRPr="006B7572">
              <w:rPr>
                <w:rFonts w:ascii="Arial" w:eastAsia="Calibri" w:hAnsi="Arial" w:cs="Arial"/>
                <w:sz w:val="20"/>
                <w:szCs w:val="20"/>
                <w:lang w:val="en-US"/>
              </w:rPr>
              <w:t>when the RSSH</w:t>
            </w:r>
            <w:r w:rsidRPr="006B7572">
              <w:rPr>
                <w:rFonts w:ascii="Arial" w:eastAsia="Calibri" w:hAnsi="Arial" w:cs="Arial"/>
                <w:sz w:val="20"/>
                <w:szCs w:val="20"/>
                <w:lang w:val="en-US"/>
              </w:rPr>
              <w:t xml:space="preserve"> funding request </w:t>
            </w:r>
            <w:r w:rsidR="00A00AE8" w:rsidRPr="006B7572">
              <w:rPr>
                <w:rFonts w:ascii="Arial" w:eastAsia="Calibri" w:hAnsi="Arial" w:cs="Arial"/>
                <w:sz w:val="20"/>
                <w:szCs w:val="20"/>
                <w:lang w:val="en-US"/>
              </w:rPr>
              <w:t>was/will be submitted</w:t>
            </w:r>
            <w:r w:rsidRPr="006B7572">
              <w:rPr>
                <w:rFonts w:ascii="Arial" w:eastAsia="Calibri" w:hAnsi="Arial" w:cs="Arial"/>
                <w:sz w:val="20"/>
                <w:szCs w:val="20"/>
                <w:lang w:val="en-US"/>
              </w:rPr>
              <w:t xml:space="preserve">; and, </w:t>
            </w:r>
          </w:p>
          <w:p w:rsidR="00F57EBD" w:rsidRPr="006B7572" w:rsidRDefault="00F57EBD" w:rsidP="007205D8">
            <w:pPr>
              <w:pStyle w:val="ListParagraph"/>
              <w:numPr>
                <w:ilvl w:val="0"/>
                <w:numId w:val="4"/>
              </w:numPr>
              <w:spacing w:before="240" w:after="200" w:line="276" w:lineRule="auto"/>
              <w:jc w:val="both"/>
              <w:rPr>
                <w:rFonts w:ascii="Arial" w:eastAsia="Calibri" w:hAnsi="Arial" w:cs="Arial"/>
                <w:sz w:val="20"/>
                <w:szCs w:val="20"/>
                <w:lang w:val="en-US"/>
              </w:rPr>
            </w:pPr>
            <w:r w:rsidRPr="006B7572">
              <w:rPr>
                <w:rFonts w:ascii="Arial" w:eastAsia="Calibri" w:hAnsi="Arial" w:cs="Arial"/>
                <w:b/>
                <w:sz w:val="20"/>
                <w:szCs w:val="20"/>
                <w:lang w:val="en-US"/>
              </w:rPr>
              <w:t xml:space="preserve">If </w:t>
            </w:r>
            <w:r w:rsidR="00A00AE8" w:rsidRPr="006B7572">
              <w:rPr>
                <w:rFonts w:ascii="Arial" w:eastAsia="Calibri" w:hAnsi="Arial" w:cs="Arial"/>
                <w:b/>
                <w:sz w:val="20"/>
                <w:szCs w:val="20"/>
                <w:lang w:val="en-US"/>
              </w:rPr>
              <w:t>the RSSH funding</w:t>
            </w:r>
            <w:r w:rsidRPr="006B7572">
              <w:rPr>
                <w:rFonts w:ascii="Arial" w:eastAsia="Calibri" w:hAnsi="Arial" w:cs="Arial"/>
                <w:b/>
                <w:sz w:val="20"/>
                <w:szCs w:val="20"/>
                <w:lang w:val="en-US"/>
              </w:rPr>
              <w:t xml:space="preserve"> request </w:t>
            </w:r>
            <w:r w:rsidR="00CC0842" w:rsidRPr="006B7572">
              <w:rPr>
                <w:rFonts w:ascii="Arial" w:eastAsia="Calibri" w:hAnsi="Arial" w:cs="Arial"/>
                <w:b/>
                <w:sz w:val="20"/>
                <w:szCs w:val="20"/>
                <w:lang w:val="en-US"/>
              </w:rPr>
              <w:t>has not yet been submitted</w:t>
            </w:r>
            <w:r w:rsidRPr="006B7572">
              <w:rPr>
                <w:rFonts w:ascii="Arial" w:eastAsia="Calibri" w:hAnsi="Arial" w:cs="Arial"/>
                <w:sz w:val="20"/>
                <w:szCs w:val="20"/>
                <w:lang w:val="en-US"/>
              </w:rPr>
              <w:t>, highlight below the elements of the planned RSSH investment that will directly support the disease program in this funding request</w:t>
            </w:r>
            <w:r w:rsidR="00A00AE8" w:rsidRPr="006B7572">
              <w:rPr>
                <w:rFonts w:ascii="Arial" w:eastAsia="Calibri" w:hAnsi="Arial" w:cs="Arial"/>
                <w:sz w:val="20"/>
                <w:szCs w:val="20"/>
                <w:lang w:val="en-US"/>
              </w:rPr>
              <w:t>.</w:t>
            </w:r>
          </w:p>
          <w:p w:rsidR="00042DCA" w:rsidRPr="006B7572" w:rsidRDefault="001631BD" w:rsidP="00F57EBD">
            <w:pPr>
              <w:spacing w:after="200" w:line="276" w:lineRule="auto"/>
              <w:contextualSpacing/>
              <w:rPr>
                <w:rFonts w:ascii="Arial" w:eastAsia="SimSun" w:hAnsi="Arial" w:cs="Arial"/>
                <w:b/>
                <w:color w:val="A6A6A6"/>
                <w:sz w:val="20"/>
                <w:szCs w:val="20"/>
                <w:lang w:val="en-US" w:eastAsia="zh-CN"/>
              </w:rPr>
            </w:pPr>
            <w:r w:rsidRPr="006B7572">
              <w:rPr>
                <w:rFonts w:ascii="Arial" w:eastAsia="Calibri" w:hAnsi="Arial" w:cs="Arial"/>
                <w:b/>
                <w:sz w:val="20"/>
                <w:szCs w:val="20"/>
                <w:lang w:val="en-US"/>
              </w:rPr>
              <w:t>(maximum</w:t>
            </w:r>
            <w:r w:rsidR="00042DCA" w:rsidRPr="006B7572">
              <w:rPr>
                <w:rFonts w:ascii="Arial" w:eastAsia="Calibri" w:hAnsi="Arial" w:cs="Arial"/>
                <w:b/>
                <w:sz w:val="20"/>
                <w:szCs w:val="20"/>
                <w:lang w:val="en-US"/>
              </w:rPr>
              <w:t xml:space="preserve"> ½ page)</w:t>
            </w:r>
          </w:p>
        </w:tc>
      </w:tr>
    </w:tbl>
    <w:p w:rsidR="00042DCA" w:rsidRPr="004040A5" w:rsidRDefault="002D19E8" w:rsidP="00042DCA">
      <w:pPr>
        <w:spacing w:before="240"/>
        <w:rPr>
          <w:rFonts w:ascii="Arial" w:hAnsi="Arial" w:cs="Arial"/>
          <w:sz w:val="20"/>
          <w:szCs w:val="20"/>
        </w:rPr>
      </w:pPr>
      <w:r w:rsidRPr="004040A5">
        <w:rPr>
          <w:rFonts w:ascii="Arial" w:hAnsi="Arial" w:cs="Arial"/>
          <w:sz w:val="20"/>
          <w:szCs w:val="20"/>
        </w:rPr>
        <w:t>[</w:t>
      </w:r>
      <w:r w:rsidR="00042DCA" w:rsidRPr="004040A5">
        <w:rPr>
          <w:rFonts w:ascii="Arial" w:hAnsi="Arial" w:cs="Arial"/>
          <w:i/>
          <w:sz w:val="20"/>
          <w:szCs w:val="20"/>
        </w:rPr>
        <w:t>Applicant response</w:t>
      </w:r>
      <w:r w:rsidRPr="004040A5">
        <w:rPr>
          <w:rFonts w:ascii="Arial" w:hAnsi="Arial" w:cs="Arial"/>
          <w:sz w:val="20"/>
          <w:szCs w:val="20"/>
        </w:rPr>
        <w:t>]</w:t>
      </w:r>
      <w:r w:rsidR="00042DCA" w:rsidRPr="004040A5">
        <w:rPr>
          <w:rFonts w:ascii="Arial" w:hAnsi="Arial" w:cs="Arial"/>
          <w:sz w:val="20"/>
          <w:szCs w:val="20"/>
        </w:rPr>
        <w:t>:</w:t>
      </w:r>
    </w:p>
    <w:p w:rsidR="008A5BB7" w:rsidRPr="004040A5" w:rsidRDefault="008A5BB7" w:rsidP="008A5BB7">
      <w:pPr>
        <w:pStyle w:val="CommentText"/>
        <w:rPr>
          <w:rFonts w:ascii="Arial" w:hAnsi="Arial"/>
          <w:b w:val="0"/>
        </w:rPr>
      </w:pPr>
      <w:r>
        <w:rPr>
          <w:rFonts w:ascii="Arial" w:hAnsi="Arial"/>
          <w:b w:val="0"/>
        </w:rPr>
        <w:t xml:space="preserve">a). </w:t>
      </w:r>
      <w:r w:rsidRPr="004040A5">
        <w:rPr>
          <w:rFonts w:ascii="Arial" w:hAnsi="Arial"/>
          <w:b w:val="0"/>
        </w:rPr>
        <w:t>The RSSH component of Bangladesh’s NFM2 application will be incorporated into the TB funding request</w:t>
      </w:r>
      <w:r>
        <w:rPr>
          <w:rFonts w:ascii="Arial" w:hAnsi="Arial"/>
          <w:b w:val="0"/>
        </w:rPr>
        <w:t>, which will be submitted to Global Fund in time for the 20 March 2017 deadline</w:t>
      </w:r>
      <w:r w:rsidRPr="004040A5">
        <w:rPr>
          <w:rFonts w:ascii="Arial" w:hAnsi="Arial"/>
          <w:b w:val="0"/>
        </w:rPr>
        <w:t>.</w:t>
      </w:r>
    </w:p>
    <w:p w:rsidR="00805553" w:rsidRDefault="008A5BB7" w:rsidP="004040A5">
      <w:pPr>
        <w:spacing w:after="120" w:line="240" w:lineRule="auto"/>
        <w:rPr>
          <w:rFonts w:ascii="Arial" w:eastAsia="Calibri" w:hAnsi="Arial" w:cs="Arial"/>
          <w:sz w:val="20"/>
          <w:szCs w:val="20"/>
          <w:lang w:val="en-US"/>
        </w:rPr>
      </w:pPr>
      <w:r w:rsidRPr="004040A5">
        <w:rPr>
          <w:rFonts w:ascii="Arial" w:eastAsia="Calibri" w:hAnsi="Arial" w:cs="Arial"/>
          <w:sz w:val="20"/>
          <w:szCs w:val="20"/>
          <w:lang w:val="en-US"/>
        </w:rPr>
        <w:t xml:space="preserve">b). </w:t>
      </w:r>
      <w:r w:rsidR="00805553">
        <w:rPr>
          <w:rFonts w:ascii="Arial" w:eastAsia="Calibri" w:hAnsi="Arial" w:cs="Arial"/>
          <w:sz w:val="20"/>
          <w:szCs w:val="20"/>
          <w:lang w:val="en-US"/>
        </w:rPr>
        <w:t>T</w:t>
      </w:r>
      <w:r w:rsidR="00805553" w:rsidRPr="006B7572">
        <w:rPr>
          <w:rFonts w:ascii="Arial" w:eastAsia="Calibri" w:hAnsi="Arial" w:cs="Arial"/>
          <w:sz w:val="20"/>
          <w:szCs w:val="20"/>
          <w:lang w:val="en-US"/>
        </w:rPr>
        <w:t xml:space="preserve">he elements of the planned RSSH investment that will directly support the </w:t>
      </w:r>
      <w:r w:rsidR="00805553">
        <w:rPr>
          <w:rFonts w:ascii="Arial" w:eastAsia="Calibri" w:hAnsi="Arial" w:cs="Arial"/>
          <w:sz w:val="20"/>
          <w:szCs w:val="20"/>
          <w:lang w:val="en-US"/>
        </w:rPr>
        <w:t xml:space="preserve">malaria program are: </w:t>
      </w:r>
    </w:p>
    <w:p w:rsidR="00521C69" w:rsidRDefault="008A5BB7" w:rsidP="004040A5">
      <w:pPr>
        <w:spacing w:after="120" w:line="240" w:lineRule="auto"/>
        <w:rPr>
          <w:rFonts w:ascii="Arial" w:eastAsia="Calibri" w:hAnsi="Arial" w:cs="Arial"/>
          <w:b/>
          <w:bCs/>
          <w:sz w:val="20"/>
          <w:szCs w:val="20"/>
          <w:lang w:val="en-US"/>
        </w:rPr>
      </w:pPr>
      <w:r w:rsidRPr="004040A5">
        <w:rPr>
          <w:rFonts w:ascii="Arial" w:eastAsia="Calibri" w:hAnsi="Arial" w:cs="Arial"/>
          <w:bCs/>
          <w:i/>
          <w:sz w:val="20"/>
          <w:szCs w:val="20"/>
          <w:lang w:val="en-US"/>
        </w:rPr>
        <w:t>Improve the quality of microscopy services</w:t>
      </w:r>
      <w:r w:rsidR="00521C69" w:rsidRPr="004040A5">
        <w:rPr>
          <w:rFonts w:ascii="Arial" w:eastAsia="Calibri" w:hAnsi="Arial" w:cs="Arial"/>
          <w:bCs/>
          <w:i/>
          <w:sz w:val="20"/>
          <w:szCs w:val="20"/>
          <w:lang w:val="en-US"/>
        </w:rPr>
        <w:t>.</w:t>
      </w:r>
      <w:r w:rsidR="00521C69">
        <w:rPr>
          <w:rFonts w:ascii="Arial" w:eastAsia="Calibri" w:hAnsi="Arial" w:cs="Arial"/>
          <w:sz w:val="20"/>
          <w:szCs w:val="20"/>
          <w:lang w:val="en-US"/>
        </w:rPr>
        <w:t xml:space="preserve">The grant will support </w:t>
      </w:r>
      <w:r w:rsidR="00805553" w:rsidRPr="004040A5">
        <w:rPr>
          <w:rFonts w:ascii="Arial" w:eastAsia="Calibri" w:hAnsi="Arial" w:cs="Arial"/>
          <w:sz w:val="20"/>
          <w:szCs w:val="20"/>
          <w:lang w:val="en-US"/>
        </w:rPr>
        <w:t xml:space="preserve">retraining </w:t>
      </w:r>
      <w:r w:rsidR="00521C69">
        <w:rPr>
          <w:rFonts w:ascii="Arial" w:eastAsia="Calibri" w:hAnsi="Arial" w:cs="Arial"/>
          <w:sz w:val="20"/>
          <w:szCs w:val="20"/>
          <w:lang w:val="en-US"/>
        </w:rPr>
        <w:t xml:space="preserve">of </w:t>
      </w:r>
      <w:r w:rsidR="00805553" w:rsidRPr="004040A5">
        <w:rPr>
          <w:rFonts w:ascii="Arial" w:eastAsia="Calibri" w:hAnsi="Arial" w:cs="Arial"/>
          <w:sz w:val="20"/>
          <w:szCs w:val="20"/>
          <w:lang w:val="en-US"/>
        </w:rPr>
        <w:t>upazi</w:t>
      </w:r>
      <w:r w:rsidRPr="004040A5">
        <w:rPr>
          <w:rFonts w:ascii="Arial" w:eastAsia="Calibri" w:hAnsi="Arial" w:cs="Arial"/>
          <w:sz w:val="20"/>
          <w:szCs w:val="20"/>
          <w:lang w:val="en-US"/>
        </w:rPr>
        <w:t xml:space="preserve">la staff and experienced </w:t>
      </w:r>
      <w:r w:rsidR="00521C69">
        <w:rPr>
          <w:rFonts w:ascii="Arial" w:eastAsia="Calibri" w:hAnsi="Arial" w:cs="Arial"/>
          <w:sz w:val="20"/>
          <w:szCs w:val="20"/>
          <w:lang w:val="en-US"/>
        </w:rPr>
        <w:t>quality assurance</w:t>
      </w:r>
      <w:r w:rsidRPr="004040A5">
        <w:rPr>
          <w:rFonts w:ascii="Arial" w:eastAsia="Calibri" w:hAnsi="Arial" w:cs="Arial"/>
          <w:sz w:val="20"/>
          <w:szCs w:val="20"/>
          <w:lang w:val="en-US"/>
        </w:rPr>
        <w:t xml:space="preserve"> technicians to become good laboratory supervisors who </w:t>
      </w:r>
      <w:r w:rsidR="00521C69">
        <w:rPr>
          <w:rFonts w:ascii="Arial" w:eastAsia="Calibri" w:hAnsi="Arial" w:cs="Arial"/>
          <w:sz w:val="20"/>
          <w:szCs w:val="20"/>
          <w:lang w:val="en-US"/>
        </w:rPr>
        <w:t>provide</w:t>
      </w:r>
      <w:r w:rsidRPr="004040A5">
        <w:rPr>
          <w:rFonts w:ascii="Arial" w:eastAsia="Calibri" w:hAnsi="Arial" w:cs="Arial"/>
          <w:sz w:val="20"/>
          <w:szCs w:val="20"/>
          <w:lang w:val="en-US"/>
        </w:rPr>
        <w:t xml:space="preserve"> supportive, problem-solving supervision. The strategy will also </w:t>
      </w:r>
      <w:r w:rsidR="00521C69">
        <w:rPr>
          <w:rFonts w:ascii="Arial" w:eastAsia="Calibri" w:hAnsi="Arial" w:cs="Arial"/>
          <w:sz w:val="20"/>
          <w:szCs w:val="20"/>
          <w:lang w:val="en-US"/>
        </w:rPr>
        <w:t>ensure</w:t>
      </w:r>
      <w:r w:rsidRPr="004040A5">
        <w:rPr>
          <w:rFonts w:ascii="Arial" w:eastAsia="Calibri" w:hAnsi="Arial" w:cs="Arial"/>
          <w:sz w:val="20"/>
          <w:szCs w:val="20"/>
          <w:lang w:val="en-US"/>
        </w:rPr>
        <w:t xml:space="preserve"> adequate internal quality control </w:t>
      </w:r>
      <w:r w:rsidR="00805553">
        <w:rPr>
          <w:rFonts w:ascii="Arial" w:eastAsia="Calibri" w:hAnsi="Arial" w:cs="Arial"/>
          <w:sz w:val="20"/>
          <w:szCs w:val="20"/>
          <w:lang w:val="en-US"/>
        </w:rPr>
        <w:t>by</w:t>
      </w:r>
      <w:r w:rsidRPr="004040A5">
        <w:rPr>
          <w:rFonts w:ascii="Arial" w:eastAsia="Calibri" w:hAnsi="Arial" w:cs="Arial"/>
          <w:sz w:val="20"/>
          <w:szCs w:val="20"/>
          <w:lang w:val="en-US"/>
        </w:rPr>
        <w:t xml:space="preserve"> reference laboratories. </w:t>
      </w:r>
    </w:p>
    <w:p w:rsidR="00805553" w:rsidRDefault="008A5BB7" w:rsidP="004040A5">
      <w:pPr>
        <w:spacing w:after="120" w:line="240" w:lineRule="auto"/>
        <w:rPr>
          <w:rFonts w:ascii="Arial" w:eastAsia="Calibri" w:hAnsi="Arial" w:cs="Arial"/>
          <w:sz w:val="20"/>
          <w:szCs w:val="20"/>
          <w:lang w:val="en-US"/>
        </w:rPr>
      </w:pPr>
      <w:r w:rsidRPr="004040A5">
        <w:rPr>
          <w:rFonts w:ascii="Arial" w:eastAsia="Calibri" w:hAnsi="Arial" w:cs="Arial"/>
          <w:bCs/>
          <w:i/>
          <w:sz w:val="20"/>
          <w:szCs w:val="20"/>
          <w:lang w:val="en-US"/>
        </w:rPr>
        <w:t>Improve the performance of the laboratory network</w:t>
      </w:r>
      <w:r w:rsidR="00521C69" w:rsidRPr="004040A5">
        <w:rPr>
          <w:rFonts w:ascii="Arial" w:eastAsia="Calibri" w:hAnsi="Arial" w:cs="Arial"/>
          <w:bCs/>
          <w:i/>
          <w:sz w:val="20"/>
          <w:szCs w:val="20"/>
          <w:lang w:val="en-US"/>
        </w:rPr>
        <w:t>.</w:t>
      </w:r>
      <w:r w:rsidR="0074306D">
        <w:rPr>
          <w:rFonts w:ascii="Arial" w:eastAsia="Calibri" w:hAnsi="Arial" w:cs="Arial"/>
          <w:sz w:val="20"/>
          <w:szCs w:val="20"/>
          <w:lang w:val="en-US"/>
        </w:rPr>
        <w:t>S</w:t>
      </w:r>
      <w:r w:rsidRPr="004040A5">
        <w:rPr>
          <w:rFonts w:ascii="Arial" w:eastAsia="Calibri" w:hAnsi="Arial" w:cs="Arial"/>
          <w:sz w:val="20"/>
          <w:szCs w:val="20"/>
          <w:lang w:val="en-US"/>
        </w:rPr>
        <w:t xml:space="preserve">everal activities will be </w:t>
      </w:r>
      <w:r w:rsidR="0074306D">
        <w:rPr>
          <w:rFonts w:ascii="Arial" w:eastAsia="Calibri" w:hAnsi="Arial" w:cs="Arial"/>
          <w:sz w:val="20"/>
          <w:szCs w:val="20"/>
          <w:lang w:val="en-US"/>
        </w:rPr>
        <w:t>carried-out</w:t>
      </w:r>
      <w:r w:rsidRPr="004040A5">
        <w:rPr>
          <w:rFonts w:ascii="Arial" w:eastAsia="Calibri" w:hAnsi="Arial" w:cs="Arial"/>
          <w:sz w:val="20"/>
          <w:szCs w:val="20"/>
          <w:lang w:val="en-US"/>
        </w:rPr>
        <w:t xml:space="preserve"> to improve the overall performance of the laboratory network. Regular supervision and monitoring to all laboratory siteswill be ensured. </w:t>
      </w:r>
    </w:p>
    <w:p w:rsidR="008A5BB7" w:rsidRPr="004040A5" w:rsidRDefault="008A5BB7" w:rsidP="004040A5">
      <w:pPr>
        <w:tabs>
          <w:tab w:val="left" w:pos="6115"/>
        </w:tabs>
        <w:spacing w:after="120" w:line="240" w:lineRule="auto"/>
        <w:rPr>
          <w:rFonts w:ascii="Arial" w:eastAsia="Calibri" w:hAnsi="Arial" w:cs="Arial"/>
          <w:sz w:val="20"/>
          <w:szCs w:val="20"/>
          <w:lang w:val="en-US"/>
        </w:rPr>
      </w:pPr>
      <w:r w:rsidRPr="004040A5">
        <w:rPr>
          <w:rFonts w:ascii="Arial" w:eastAsia="Calibri" w:hAnsi="Arial" w:cs="Arial"/>
          <w:bCs/>
          <w:i/>
          <w:sz w:val="20"/>
          <w:szCs w:val="20"/>
          <w:lang w:val="en-US"/>
        </w:rPr>
        <w:t>Ensure regular maintenance of all diagnostic equipment</w:t>
      </w:r>
      <w:r w:rsidR="00521C69" w:rsidRPr="004040A5">
        <w:rPr>
          <w:rFonts w:ascii="Arial" w:eastAsia="Calibri" w:hAnsi="Arial" w:cs="Arial"/>
          <w:bCs/>
          <w:i/>
          <w:sz w:val="20"/>
          <w:szCs w:val="20"/>
          <w:lang w:val="en-US"/>
        </w:rPr>
        <w:t xml:space="preserve">. </w:t>
      </w:r>
      <w:r w:rsidR="00805553">
        <w:rPr>
          <w:rFonts w:ascii="Arial" w:eastAsia="Calibri" w:hAnsi="Arial" w:cs="Arial"/>
          <w:sz w:val="20"/>
          <w:szCs w:val="20"/>
          <w:lang w:val="en-US"/>
        </w:rPr>
        <w:t xml:space="preserve">The grant will support </w:t>
      </w:r>
      <w:r w:rsidRPr="004040A5">
        <w:rPr>
          <w:rFonts w:ascii="Arial" w:eastAsia="Calibri" w:hAnsi="Arial" w:cs="Arial"/>
          <w:sz w:val="20"/>
          <w:szCs w:val="20"/>
          <w:lang w:val="en-US"/>
        </w:rPr>
        <w:t xml:space="preserve">regular maintenance of all </w:t>
      </w:r>
      <w:r w:rsidR="00805553" w:rsidRPr="002B509D">
        <w:rPr>
          <w:rFonts w:ascii="Arial" w:eastAsia="Calibri" w:hAnsi="Arial" w:cs="Arial"/>
          <w:sz w:val="20"/>
          <w:szCs w:val="20"/>
          <w:lang w:val="en-US"/>
        </w:rPr>
        <w:t xml:space="preserve">diagnostic </w:t>
      </w:r>
      <w:r w:rsidRPr="004040A5">
        <w:rPr>
          <w:rFonts w:ascii="Arial" w:eastAsia="Calibri" w:hAnsi="Arial" w:cs="Arial"/>
          <w:sz w:val="20"/>
          <w:szCs w:val="20"/>
          <w:lang w:val="en-US"/>
        </w:rPr>
        <w:t xml:space="preserve">equipment. </w:t>
      </w:r>
    </w:p>
    <w:p w:rsidR="00521C69" w:rsidRPr="004040A5" w:rsidRDefault="008A5BB7" w:rsidP="004040A5">
      <w:pPr>
        <w:spacing w:after="120" w:line="240" w:lineRule="auto"/>
        <w:rPr>
          <w:rFonts w:ascii="Arial" w:eastAsia="Calibri" w:hAnsi="Arial" w:cs="Arial"/>
          <w:sz w:val="20"/>
          <w:szCs w:val="20"/>
        </w:rPr>
      </w:pPr>
      <w:r w:rsidRPr="004040A5">
        <w:rPr>
          <w:rFonts w:ascii="Arial" w:eastAsia="Calibri" w:hAnsi="Arial" w:cs="Arial"/>
          <w:bCs/>
          <w:i/>
          <w:sz w:val="20"/>
          <w:szCs w:val="20"/>
          <w:lang w:val="en-US"/>
        </w:rPr>
        <w:t>Restructure CDCs to support a focused program of training, supervision and planning activities in addition to clinical tasks</w:t>
      </w:r>
      <w:r w:rsidR="00521C69" w:rsidRPr="004040A5">
        <w:rPr>
          <w:rFonts w:ascii="Arial" w:eastAsia="Calibri" w:hAnsi="Arial" w:cs="Arial"/>
          <w:bCs/>
          <w:i/>
          <w:sz w:val="20"/>
          <w:szCs w:val="20"/>
          <w:lang w:val="en-US"/>
        </w:rPr>
        <w:t>.</w:t>
      </w:r>
      <w:r w:rsidR="0074306D">
        <w:rPr>
          <w:rFonts w:ascii="Arial" w:eastAsia="Calibri" w:hAnsi="Arial" w:cs="Arial"/>
          <w:sz w:val="20"/>
          <w:szCs w:val="20"/>
        </w:rPr>
        <w:t>The grant will support strengthening</w:t>
      </w:r>
      <w:r w:rsidRPr="004040A5">
        <w:rPr>
          <w:rFonts w:ascii="Arial" w:eastAsia="Calibri" w:hAnsi="Arial" w:cs="Arial"/>
          <w:sz w:val="20"/>
          <w:szCs w:val="20"/>
        </w:rPr>
        <w:t xml:space="preserve"> the planning capacity of CDCs to enable </w:t>
      </w:r>
      <w:r w:rsidR="0074306D">
        <w:rPr>
          <w:rFonts w:ascii="Arial" w:eastAsia="Calibri" w:hAnsi="Arial" w:cs="Arial"/>
          <w:sz w:val="20"/>
          <w:szCs w:val="20"/>
        </w:rPr>
        <w:t xml:space="preserve">their </w:t>
      </w:r>
      <w:r w:rsidRPr="004040A5">
        <w:rPr>
          <w:rFonts w:ascii="Arial" w:eastAsia="Calibri" w:hAnsi="Arial" w:cs="Arial"/>
          <w:sz w:val="20"/>
          <w:szCs w:val="20"/>
        </w:rPr>
        <w:t xml:space="preserve">effective participation in </w:t>
      </w:r>
      <w:r w:rsidR="0074306D">
        <w:rPr>
          <w:rFonts w:ascii="Arial" w:eastAsia="Calibri" w:hAnsi="Arial" w:cs="Arial"/>
          <w:sz w:val="20"/>
          <w:szCs w:val="20"/>
        </w:rPr>
        <w:t xml:space="preserve">the </w:t>
      </w:r>
      <w:r w:rsidRPr="004040A5">
        <w:rPr>
          <w:rFonts w:ascii="Arial" w:eastAsia="Calibri" w:hAnsi="Arial" w:cs="Arial"/>
          <w:sz w:val="20"/>
          <w:szCs w:val="20"/>
        </w:rPr>
        <w:t xml:space="preserve">MOH planning/budgeting cycle at peripheral levels, thus ensuring adequate funding and </w:t>
      </w:r>
      <w:r w:rsidR="0074306D">
        <w:rPr>
          <w:rFonts w:ascii="Arial" w:eastAsia="Calibri" w:hAnsi="Arial" w:cs="Arial"/>
          <w:sz w:val="20"/>
          <w:szCs w:val="20"/>
        </w:rPr>
        <w:t xml:space="preserve">effective </w:t>
      </w:r>
      <w:r w:rsidRPr="004040A5">
        <w:rPr>
          <w:rFonts w:ascii="Arial" w:eastAsia="Calibri" w:hAnsi="Arial" w:cs="Arial"/>
          <w:sz w:val="20"/>
          <w:szCs w:val="20"/>
        </w:rPr>
        <w:t xml:space="preserve">coordination with MOH activities. </w:t>
      </w:r>
      <w:r w:rsidR="0074306D">
        <w:rPr>
          <w:rFonts w:ascii="Arial" w:eastAsia="Calibri" w:hAnsi="Arial" w:cs="Arial"/>
          <w:sz w:val="20"/>
          <w:szCs w:val="20"/>
        </w:rPr>
        <w:t>A</w:t>
      </w:r>
      <w:r w:rsidRPr="004040A5">
        <w:rPr>
          <w:rFonts w:ascii="Arial" w:eastAsia="Calibri" w:hAnsi="Arial" w:cs="Arial"/>
          <w:sz w:val="20"/>
          <w:szCs w:val="20"/>
        </w:rPr>
        <w:t xml:space="preserve"> strategy paper for the redesigned role of CDCs</w:t>
      </w:r>
      <w:r w:rsidR="0074306D">
        <w:rPr>
          <w:rFonts w:ascii="Arial" w:eastAsia="Calibri" w:hAnsi="Arial" w:cs="Arial"/>
          <w:sz w:val="20"/>
          <w:szCs w:val="20"/>
        </w:rPr>
        <w:t xml:space="preserve"> (</w:t>
      </w:r>
      <w:r w:rsidRPr="004040A5">
        <w:rPr>
          <w:rFonts w:ascii="Arial" w:eastAsia="Calibri" w:hAnsi="Arial" w:cs="Arial"/>
          <w:sz w:val="20"/>
          <w:szCs w:val="20"/>
        </w:rPr>
        <w:t>with detailed description of office and staff requirements, ToRs, activity schedule, etc</w:t>
      </w:r>
      <w:r w:rsidR="0074306D">
        <w:rPr>
          <w:rFonts w:ascii="Arial" w:eastAsia="Calibri" w:hAnsi="Arial" w:cs="Arial"/>
          <w:sz w:val="20"/>
          <w:szCs w:val="20"/>
        </w:rPr>
        <w:t xml:space="preserve">.) will be developed. </w:t>
      </w:r>
      <w:r w:rsidRPr="004040A5">
        <w:rPr>
          <w:rFonts w:ascii="Arial" w:eastAsia="Calibri" w:hAnsi="Arial" w:cs="Arial"/>
          <w:sz w:val="20"/>
          <w:szCs w:val="20"/>
        </w:rPr>
        <w:t xml:space="preserve">CDCs </w:t>
      </w:r>
      <w:r w:rsidR="0074306D">
        <w:rPr>
          <w:rFonts w:ascii="Arial" w:eastAsia="Calibri" w:hAnsi="Arial" w:cs="Arial"/>
          <w:sz w:val="20"/>
          <w:szCs w:val="20"/>
        </w:rPr>
        <w:t xml:space="preserve">will be renovated </w:t>
      </w:r>
      <w:r w:rsidRPr="004040A5">
        <w:rPr>
          <w:rFonts w:ascii="Arial" w:eastAsia="Calibri" w:hAnsi="Arial" w:cs="Arial"/>
          <w:sz w:val="20"/>
          <w:szCs w:val="20"/>
        </w:rPr>
        <w:t>as required</w:t>
      </w:r>
      <w:r w:rsidR="0074306D">
        <w:rPr>
          <w:rFonts w:ascii="Arial" w:eastAsia="Calibri" w:hAnsi="Arial" w:cs="Arial"/>
          <w:sz w:val="20"/>
          <w:szCs w:val="20"/>
        </w:rPr>
        <w:t xml:space="preserve"> and</w:t>
      </w:r>
      <w:r w:rsidRPr="004040A5">
        <w:rPr>
          <w:rFonts w:ascii="Arial" w:eastAsia="Calibri" w:hAnsi="Arial" w:cs="Arial"/>
          <w:sz w:val="20"/>
          <w:szCs w:val="20"/>
        </w:rPr>
        <w:t xml:space="preserve"> office equipment and transport facilities</w:t>
      </w:r>
      <w:r w:rsidR="0074306D">
        <w:rPr>
          <w:rFonts w:ascii="Arial" w:eastAsia="Calibri" w:hAnsi="Arial" w:cs="Arial"/>
          <w:sz w:val="20"/>
          <w:szCs w:val="20"/>
        </w:rPr>
        <w:t xml:space="preserve"> will be procured as necessary. </w:t>
      </w:r>
      <w:r w:rsidR="0074306D" w:rsidRPr="004040A5">
        <w:rPr>
          <w:rFonts w:ascii="Arial" w:eastAsia="Calibri" w:hAnsi="Arial" w:cs="Arial"/>
          <w:sz w:val="20"/>
          <w:szCs w:val="20"/>
        </w:rPr>
        <w:t>T</w:t>
      </w:r>
      <w:r w:rsidRPr="004040A5">
        <w:rPr>
          <w:rFonts w:ascii="Arial" w:eastAsia="Calibri" w:hAnsi="Arial" w:cs="Arial"/>
          <w:sz w:val="20"/>
          <w:szCs w:val="20"/>
        </w:rPr>
        <w:t>echnical posts</w:t>
      </w:r>
      <w:r w:rsidR="0074306D">
        <w:rPr>
          <w:rFonts w:ascii="Arial" w:eastAsia="Calibri" w:hAnsi="Arial" w:cs="Arial"/>
          <w:sz w:val="20"/>
          <w:szCs w:val="20"/>
        </w:rPr>
        <w:t xml:space="preserve"> will be </w:t>
      </w:r>
      <w:r w:rsidR="00176011">
        <w:rPr>
          <w:rFonts w:ascii="Arial" w:eastAsia="Calibri" w:hAnsi="Arial" w:cs="Arial"/>
          <w:sz w:val="20"/>
          <w:szCs w:val="20"/>
        </w:rPr>
        <w:t xml:space="preserve">upgraded </w:t>
      </w:r>
      <w:r w:rsidR="0074306D">
        <w:rPr>
          <w:rFonts w:ascii="Arial" w:eastAsia="Calibri" w:hAnsi="Arial" w:cs="Arial"/>
          <w:sz w:val="20"/>
          <w:szCs w:val="20"/>
        </w:rPr>
        <w:t xml:space="preserve">as required and </w:t>
      </w:r>
      <w:r w:rsidRPr="004040A5">
        <w:rPr>
          <w:rFonts w:ascii="Arial" w:eastAsia="Calibri" w:hAnsi="Arial" w:cs="Arial"/>
          <w:sz w:val="20"/>
          <w:szCs w:val="20"/>
        </w:rPr>
        <w:t xml:space="preserve">additional </w:t>
      </w:r>
      <w:r w:rsidR="0074306D" w:rsidRPr="00A33569">
        <w:rPr>
          <w:rFonts w:ascii="Arial" w:eastAsia="Calibri" w:hAnsi="Arial" w:cs="Arial"/>
          <w:sz w:val="20"/>
          <w:szCs w:val="20"/>
        </w:rPr>
        <w:t>admin</w:t>
      </w:r>
      <w:r w:rsidR="0074306D">
        <w:rPr>
          <w:rFonts w:ascii="Arial" w:eastAsia="Calibri" w:hAnsi="Arial" w:cs="Arial"/>
          <w:sz w:val="20"/>
          <w:szCs w:val="20"/>
        </w:rPr>
        <w:t>istrative</w:t>
      </w:r>
      <w:r w:rsidR="0074306D" w:rsidRPr="00A33569">
        <w:rPr>
          <w:rFonts w:ascii="Arial" w:eastAsia="Calibri" w:hAnsi="Arial" w:cs="Arial"/>
          <w:sz w:val="20"/>
          <w:szCs w:val="20"/>
        </w:rPr>
        <w:t xml:space="preserve"> posts </w:t>
      </w:r>
      <w:r w:rsidR="0074306D">
        <w:rPr>
          <w:rFonts w:ascii="Arial" w:eastAsia="Calibri" w:hAnsi="Arial" w:cs="Arial"/>
          <w:sz w:val="20"/>
          <w:szCs w:val="20"/>
        </w:rPr>
        <w:t xml:space="preserve">will be </w:t>
      </w:r>
      <w:r w:rsidR="0074306D" w:rsidRPr="007231E7">
        <w:rPr>
          <w:rFonts w:ascii="Arial" w:eastAsia="Calibri" w:hAnsi="Arial" w:cs="Arial"/>
          <w:sz w:val="20"/>
          <w:szCs w:val="20"/>
        </w:rPr>
        <w:t>establish</w:t>
      </w:r>
      <w:r w:rsidR="0074306D">
        <w:rPr>
          <w:rFonts w:ascii="Arial" w:eastAsia="Calibri" w:hAnsi="Arial" w:cs="Arial"/>
          <w:sz w:val="20"/>
          <w:szCs w:val="20"/>
        </w:rPr>
        <w:t>ed</w:t>
      </w:r>
      <w:r w:rsidRPr="004040A5">
        <w:rPr>
          <w:rFonts w:ascii="Arial" w:eastAsia="Calibri" w:hAnsi="Arial" w:cs="Arial"/>
          <w:sz w:val="20"/>
          <w:szCs w:val="20"/>
        </w:rPr>
        <w:t xml:space="preserve">as per </w:t>
      </w:r>
      <w:r w:rsidR="00176011">
        <w:rPr>
          <w:rFonts w:ascii="Arial" w:eastAsia="Calibri" w:hAnsi="Arial" w:cs="Arial"/>
          <w:sz w:val="20"/>
          <w:szCs w:val="20"/>
        </w:rPr>
        <w:t xml:space="preserve">the </w:t>
      </w:r>
      <w:r w:rsidRPr="004040A5">
        <w:rPr>
          <w:rFonts w:ascii="Arial" w:eastAsia="Calibri" w:hAnsi="Arial" w:cs="Arial"/>
          <w:sz w:val="20"/>
          <w:szCs w:val="20"/>
        </w:rPr>
        <w:t>strategy</w:t>
      </w:r>
      <w:r w:rsidR="00176011">
        <w:rPr>
          <w:rFonts w:ascii="Arial" w:eastAsia="Calibri" w:hAnsi="Arial" w:cs="Arial"/>
          <w:sz w:val="20"/>
          <w:szCs w:val="20"/>
        </w:rPr>
        <w:t xml:space="preserve"> paper.</w:t>
      </w:r>
    </w:p>
    <w:p w:rsidR="00521C69" w:rsidRDefault="008A5BB7" w:rsidP="004040A5">
      <w:pPr>
        <w:spacing w:after="120" w:line="240" w:lineRule="auto"/>
        <w:rPr>
          <w:rFonts w:ascii="Arial" w:eastAsia="Calibri" w:hAnsi="Arial" w:cs="Arial"/>
          <w:b/>
          <w:bCs/>
          <w:sz w:val="20"/>
          <w:szCs w:val="20"/>
          <w:lang w:val="en-US"/>
        </w:rPr>
      </w:pPr>
      <w:r w:rsidRPr="004040A5">
        <w:rPr>
          <w:rFonts w:ascii="Arial" w:eastAsia="Calibri" w:hAnsi="Arial" w:cs="Arial"/>
          <w:bCs/>
          <w:i/>
          <w:sz w:val="20"/>
          <w:szCs w:val="20"/>
          <w:lang w:val="en-US"/>
        </w:rPr>
        <w:t>Develop management capacity at central and peripheral levels</w:t>
      </w:r>
      <w:r w:rsidR="00521C69" w:rsidRPr="004040A5">
        <w:rPr>
          <w:rFonts w:ascii="Arial" w:eastAsia="Calibri" w:hAnsi="Arial" w:cs="Arial"/>
          <w:bCs/>
          <w:i/>
          <w:sz w:val="20"/>
          <w:szCs w:val="20"/>
          <w:lang w:val="en-US"/>
        </w:rPr>
        <w:t>.</w:t>
      </w:r>
      <w:r w:rsidRPr="004040A5">
        <w:rPr>
          <w:rFonts w:ascii="Arial" w:eastAsia="Calibri" w:hAnsi="Arial" w:cs="Arial"/>
          <w:sz w:val="20"/>
          <w:szCs w:val="20"/>
          <w:lang w:val="en-US"/>
        </w:rPr>
        <w:t>Th</w:t>
      </w:r>
      <w:r w:rsidR="00176011">
        <w:rPr>
          <w:rFonts w:ascii="Arial" w:eastAsia="Calibri" w:hAnsi="Arial" w:cs="Arial"/>
          <w:sz w:val="20"/>
          <w:szCs w:val="20"/>
          <w:lang w:val="en-US"/>
        </w:rPr>
        <w:t>e grant</w:t>
      </w:r>
      <w:r w:rsidRPr="004040A5">
        <w:rPr>
          <w:rFonts w:ascii="Arial" w:eastAsia="Calibri" w:hAnsi="Arial" w:cs="Arial"/>
          <w:sz w:val="20"/>
          <w:szCs w:val="20"/>
          <w:lang w:val="en-US"/>
        </w:rPr>
        <w:t xml:space="preserve"> will </w:t>
      </w:r>
      <w:r w:rsidR="00176011">
        <w:rPr>
          <w:rFonts w:ascii="Arial" w:eastAsia="Calibri" w:hAnsi="Arial" w:cs="Arial"/>
          <w:sz w:val="20"/>
          <w:szCs w:val="20"/>
          <w:lang w:val="en-US"/>
        </w:rPr>
        <w:t xml:space="preserve">support </w:t>
      </w:r>
      <w:r w:rsidRPr="004040A5">
        <w:rPr>
          <w:rFonts w:ascii="Arial" w:eastAsia="Calibri" w:hAnsi="Arial" w:cs="Arial"/>
          <w:sz w:val="20"/>
          <w:szCs w:val="20"/>
          <w:lang w:val="en-US"/>
        </w:rPr>
        <w:t>strengthen</w:t>
      </w:r>
      <w:r w:rsidR="00176011">
        <w:rPr>
          <w:rFonts w:ascii="Arial" w:eastAsia="Calibri" w:hAnsi="Arial" w:cs="Arial"/>
          <w:sz w:val="20"/>
          <w:szCs w:val="20"/>
          <w:lang w:val="en-US"/>
        </w:rPr>
        <w:t>ing of</w:t>
      </w:r>
      <w:r w:rsidRPr="004040A5">
        <w:rPr>
          <w:rFonts w:ascii="Arial" w:eastAsia="Calibri" w:hAnsi="Arial" w:cs="Arial"/>
          <w:sz w:val="20"/>
          <w:szCs w:val="20"/>
          <w:lang w:val="en-US"/>
        </w:rPr>
        <w:t xml:space="preserve"> collaboration and coordination between different directorates in MOH, </w:t>
      </w:r>
      <w:r w:rsidR="00176011">
        <w:rPr>
          <w:rFonts w:ascii="Arial" w:eastAsia="Calibri" w:hAnsi="Arial" w:cs="Arial"/>
          <w:sz w:val="20"/>
          <w:szCs w:val="20"/>
          <w:lang w:val="en-US"/>
        </w:rPr>
        <w:t xml:space="preserve">as well as </w:t>
      </w:r>
      <w:r w:rsidRPr="004040A5">
        <w:rPr>
          <w:rFonts w:ascii="Arial" w:eastAsia="Calibri" w:hAnsi="Arial" w:cs="Arial"/>
          <w:sz w:val="20"/>
          <w:szCs w:val="20"/>
          <w:lang w:val="en-US"/>
        </w:rPr>
        <w:t xml:space="preserve">other </w:t>
      </w:r>
      <w:r w:rsidR="00176011" w:rsidRPr="00307023">
        <w:rPr>
          <w:rFonts w:ascii="Arial" w:eastAsia="Calibri" w:hAnsi="Arial" w:cs="Arial"/>
          <w:sz w:val="20"/>
          <w:szCs w:val="20"/>
          <w:lang w:val="en-US"/>
        </w:rPr>
        <w:t xml:space="preserve">relevant </w:t>
      </w:r>
      <w:r w:rsidRPr="004040A5">
        <w:rPr>
          <w:rFonts w:ascii="Arial" w:eastAsia="Calibri" w:hAnsi="Arial" w:cs="Arial"/>
          <w:sz w:val="20"/>
          <w:szCs w:val="20"/>
          <w:lang w:val="en-US"/>
        </w:rPr>
        <w:t xml:space="preserve">ministries and local government. Management capacity at local level, including local level planning, </w:t>
      </w:r>
      <w:r w:rsidRPr="004040A5">
        <w:rPr>
          <w:rFonts w:ascii="Arial" w:eastAsia="Calibri" w:hAnsi="Arial" w:cs="Arial"/>
          <w:sz w:val="20"/>
          <w:szCs w:val="20"/>
          <w:lang w:val="en-US"/>
        </w:rPr>
        <w:lastRenderedPageBreak/>
        <w:t>budgeting, monitoring and evaluation and capacity to strategically plan to address identified gaps will be improved.</w:t>
      </w:r>
    </w:p>
    <w:p w:rsidR="00EA4090" w:rsidRPr="006B7572" w:rsidRDefault="008A5BB7" w:rsidP="004040A5">
      <w:pPr>
        <w:spacing w:after="120" w:line="240" w:lineRule="auto"/>
        <w:rPr>
          <w:rFonts w:ascii="Arial" w:eastAsia="Calibri" w:hAnsi="Arial" w:cs="Arial"/>
          <w:color w:val="A6A6A6" w:themeColor="background1" w:themeShade="A6"/>
          <w:sz w:val="20"/>
          <w:szCs w:val="20"/>
          <w:lang w:val="en-US"/>
        </w:rPr>
      </w:pPr>
      <w:r w:rsidRPr="004040A5">
        <w:rPr>
          <w:rFonts w:ascii="Arial" w:eastAsia="Calibri" w:hAnsi="Arial" w:cs="Arial"/>
          <w:bCs/>
          <w:i/>
          <w:sz w:val="20"/>
          <w:szCs w:val="20"/>
          <w:lang w:val="en-US"/>
        </w:rPr>
        <w:t>Strengthen support to HMIS</w:t>
      </w:r>
      <w:r w:rsidR="00521C69" w:rsidRPr="004040A5">
        <w:rPr>
          <w:rFonts w:ascii="Arial" w:eastAsia="Calibri" w:hAnsi="Arial" w:cs="Arial"/>
          <w:bCs/>
          <w:i/>
          <w:sz w:val="20"/>
          <w:szCs w:val="20"/>
          <w:lang w:val="en-US"/>
        </w:rPr>
        <w:t>.</w:t>
      </w:r>
      <w:r w:rsidRPr="004040A5">
        <w:rPr>
          <w:rFonts w:ascii="Arial" w:eastAsia="Calibri" w:hAnsi="Arial" w:cs="Arial"/>
          <w:sz w:val="20"/>
          <w:szCs w:val="20"/>
        </w:rPr>
        <w:t xml:space="preserve">This </w:t>
      </w:r>
      <w:r w:rsidR="00176011">
        <w:rPr>
          <w:rFonts w:ascii="Arial" w:eastAsia="Calibri" w:hAnsi="Arial" w:cs="Arial"/>
          <w:sz w:val="20"/>
          <w:szCs w:val="20"/>
        </w:rPr>
        <w:t xml:space="preserve">grant </w:t>
      </w:r>
      <w:r w:rsidRPr="004040A5">
        <w:rPr>
          <w:rFonts w:ascii="Arial" w:eastAsia="Calibri" w:hAnsi="Arial" w:cs="Arial"/>
          <w:sz w:val="20"/>
          <w:szCs w:val="20"/>
        </w:rPr>
        <w:t xml:space="preserve">will support the countrywide introduction of </w:t>
      </w:r>
      <w:r w:rsidR="00176011">
        <w:rPr>
          <w:rFonts w:ascii="Arial" w:eastAsia="Calibri" w:hAnsi="Arial" w:cs="Arial"/>
          <w:sz w:val="20"/>
          <w:szCs w:val="20"/>
        </w:rPr>
        <w:t>a</w:t>
      </w:r>
      <w:r w:rsidRPr="004040A5">
        <w:rPr>
          <w:rFonts w:ascii="Arial" w:eastAsia="Calibri" w:hAnsi="Arial" w:cs="Arial"/>
          <w:sz w:val="20"/>
          <w:szCs w:val="20"/>
        </w:rPr>
        <w:t xml:space="preserve"> standard electronic recording a</w:t>
      </w:r>
      <w:r w:rsidR="00521C69" w:rsidRPr="004040A5">
        <w:rPr>
          <w:rFonts w:ascii="Arial" w:eastAsia="Calibri" w:hAnsi="Arial" w:cs="Arial"/>
          <w:sz w:val="20"/>
          <w:szCs w:val="20"/>
        </w:rPr>
        <w:t xml:space="preserve">nd reporting systems, ensuring </w:t>
      </w:r>
      <w:r w:rsidRPr="004040A5">
        <w:rPr>
          <w:rFonts w:ascii="Arial" w:eastAsia="Calibri" w:hAnsi="Arial" w:cs="Arial"/>
          <w:sz w:val="20"/>
          <w:szCs w:val="20"/>
        </w:rPr>
        <w:t>inter-operability with the broader DHIS2 system.</w:t>
      </w:r>
    </w:p>
    <w:p w:rsidR="005A62F6" w:rsidRPr="006B7572" w:rsidRDefault="005A62F6" w:rsidP="004040A5">
      <w:pPr>
        <w:spacing w:after="120" w:line="240" w:lineRule="auto"/>
        <w:rPr>
          <w:rFonts w:ascii="Arial" w:hAnsi="Arial" w:cs="Arial"/>
          <w:sz w:val="20"/>
          <w:szCs w:val="20"/>
        </w:rPr>
      </w:pPr>
    </w:p>
    <w:tbl>
      <w:tblPr>
        <w:tblW w:w="90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42" w:type="dxa"/>
          <w:right w:w="142" w:type="dxa"/>
        </w:tblCellMar>
        <w:tblLook w:val="01E0"/>
      </w:tblPr>
      <w:tblGrid>
        <w:gridCol w:w="6938"/>
        <w:gridCol w:w="2135"/>
      </w:tblGrid>
      <w:tr w:rsidR="005A62F6" w:rsidRPr="006B7572" w:rsidTr="00FE411C">
        <w:trPr>
          <w:trHeight w:val="1261"/>
        </w:trPr>
        <w:tc>
          <w:tcPr>
            <w:tcW w:w="9073" w:type="dxa"/>
            <w:gridSpan w:val="2"/>
            <w:shd w:val="clear" w:color="auto" w:fill="C6D9F1"/>
            <w:vAlign w:val="center"/>
          </w:tcPr>
          <w:p w:rsidR="005A62F6" w:rsidRPr="006B7572" w:rsidRDefault="005A62F6" w:rsidP="00414985">
            <w:pPr>
              <w:keepNext/>
              <w:keepLines/>
              <w:spacing w:after="0" w:line="240" w:lineRule="auto"/>
              <w:jc w:val="both"/>
              <w:rPr>
                <w:rFonts w:ascii="Arial" w:eastAsia="Calibri" w:hAnsi="Arial" w:cs="Arial"/>
                <w:b/>
                <w:bCs/>
                <w:sz w:val="20"/>
                <w:szCs w:val="20"/>
                <w:lang w:val="en-US"/>
              </w:rPr>
            </w:pPr>
            <w:r w:rsidRPr="006B7572">
              <w:rPr>
                <w:rFonts w:ascii="Arial" w:eastAsia="Calibri" w:hAnsi="Arial" w:cs="Arial"/>
                <w:b/>
                <w:bCs/>
                <w:sz w:val="20"/>
                <w:szCs w:val="20"/>
                <w:lang w:val="en-US"/>
              </w:rPr>
              <w:t>2.3 Focus of application</w:t>
            </w:r>
            <w:r w:rsidR="00BA7910" w:rsidRPr="006B7572">
              <w:rPr>
                <w:rFonts w:ascii="Arial" w:eastAsia="Calibri" w:hAnsi="Arial" w:cs="Arial"/>
                <w:b/>
                <w:bCs/>
                <w:sz w:val="20"/>
                <w:szCs w:val="20"/>
                <w:lang w:val="en-US"/>
              </w:rPr>
              <w:t xml:space="preserve"> requirement</w:t>
            </w:r>
            <w:r w:rsidR="00340B08" w:rsidRPr="006B7572">
              <w:rPr>
                <w:rFonts w:ascii="Arial" w:eastAsia="Calibri" w:hAnsi="Arial" w:cs="Arial"/>
                <w:b/>
                <w:bCs/>
                <w:i/>
                <w:sz w:val="20"/>
                <w:szCs w:val="20"/>
                <w:vertAlign w:val="superscript"/>
                <w:lang w:val="en-US"/>
              </w:rPr>
              <w:footnoteReference w:id="5"/>
            </w:r>
          </w:p>
          <w:p w:rsidR="00142F1D" w:rsidRPr="006B7572" w:rsidRDefault="009A251C" w:rsidP="00972638">
            <w:pPr>
              <w:keepNext/>
              <w:keepLines/>
              <w:spacing w:after="0" w:line="240" w:lineRule="auto"/>
              <w:jc w:val="both"/>
              <w:rPr>
                <w:rFonts w:ascii="Arial" w:eastAsia="Calibri" w:hAnsi="Arial" w:cs="Arial"/>
                <w:bCs/>
                <w:sz w:val="20"/>
                <w:szCs w:val="20"/>
                <w:lang w:val="en-US"/>
              </w:rPr>
            </w:pPr>
            <w:r w:rsidRPr="006B7572">
              <w:rPr>
                <w:rFonts w:ascii="Arial" w:eastAsia="Calibri" w:hAnsi="Arial" w:cs="Arial"/>
                <w:bCs/>
                <w:sz w:val="20"/>
                <w:szCs w:val="20"/>
                <w:lang w:val="en-US"/>
              </w:rPr>
              <w:t>This question is required</w:t>
            </w:r>
            <w:r w:rsidR="00340B08" w:rsidRPr="006B7572">
              <w:rPr>
                <w:rFonts w:ascii="Arial" w:eastAsia="Calibri" w:hAnsi="Arial" w:cs="Arial"/>
                <w:bCs/>
                <w:sz w:val="20"/>
                <w:szCs w:val="20"/>
                <w:lang w:val="en-US"/>
              </w:rPr>
              <w:t xml:space="preserve"> for </w:t>
            </w:r>
            <w:r w:rsidR="00311BE2" w:rsidRPr="006B7572">
              <w:rPr>
                <w:rFonts w:ascii="Arial" w:eastAsia="Calibri" w:hAnsi="Arial" w:cs="Arial"/>
                <w:bCs/>
                <w:sz w:val="20"/>
                <w:szCs w:val="20"/>
                <w:lang w:val="en-US"/>
              </w:rPr>
              <w:t xml:space="preserve">Lower-Middle Income </w:t>
            </w:r>
            <w:r w:rsidR="000A2F7B" w:rsidRPr="006B7572">
              <w:rPr>
                <w:rFonts w:ascii="Arial" w:eastAsia="Calibri" w:hAnsi="Arial" w:cs="Arial"/>
                <w:bCs/>
                <w:sz w:val="20"/>
                <w:szCs w:val="20"/>
                <w:lang w:val="en-US"/>
              </w:rPr>
              <w:t xml:space="preserve">(LMI) </w:t>
            </w:r>
            <w:r w:rsidR="00311BE2" w:rsidRPr="006B7572">
              <w:rPr>
                <w:rFonts w:ascii="Arial" w:eastAsia="Calibri" w:hAnsi="Arial" w:cs="Arial"/>
                <w:bCs/>
                <w:sz w:val="20"/>
                <w:szCs w:val="20"/>
                <w:lang w:val="en-US"/>
              </w:rPr>
              <w:t xml:space="preserve">and Upper-Middle Income </w:t>
            </w:r>
            <w:r w:rsidR="000A2F7B" w:rsidRPr="006B7572">
              <w:rPr>
                <w:rFonts w:ascii="Arial" w:eastAsia="Calibri" w:hAnsi="Arial" w:cs="Arial"/>
                <w:bCs/>
                <w:sz w:val="20"/>
                <w:szCs w:val="20"/>
                <w:lang w:val="en-US"/>
              </w:rPr>
              <w:t xml:space="preserve">(UMI) </w:t>
            </w:r>
            <w:r w:rsidR="00414985" w:rsidRPr="006B7572">
              <w:rPr>
                <w:rFonts w:ascii="Arial" w:eastAsia="Calibri" w:hAnsi="Arial" w:cs="Arial"/>
                <w:bCs/>
                <w:sz w:val="20"/>
                <w:szCs w:val="20"/>
                <w:lang w:val="en-US"/>
              </w:rPr>
              <w:t>c</w:t>
            </w:r>
            <w:r w:rsidR="00311BE2" w:rsidRPr="006B7572">
              <w:rPr>
                <w:rFonts w:ascii="Arial" w:eastAsia="Calibri" w:hAnsi="Arial" w:cs="Arial"/>
                <w:bCs/>
                <w:sz w:val="20"/>
                <w:szCs w:val="20"/>
                <w:lang w:val="en-US"/>
              </w:rPr>
              <w:t>ountries</w:t>
            </w:r>
            <w:r w:rsidR="00340B08" w:rsidRPr="006B7572">
              <w:rPr>
                <w:rFonts w:ascii="Arial" w:eastAsia="Calibri" w:hAnsi="Arial" w:cs="Arial"/>
                <w:bCs/>
                <w:sz w:val="20"/>
                <w:szCs w:val="20"/>
                <w:lang w:val="en-US"/>
              </w:rPr>
              <w:t xml:space="preserve">. </w:t>
            </w:r>
            <w:r w:rsidRPr="006B7572">
              <w:rPr>
                <w:rFonts w:ascii="Arial" w:eastAsia="Calibri" w:hAnsi="Arial" w:cs="Arial"/>
                <w:bCs/>
                <w:sz w:val="20"/>
                <w:szCs w:val="20"/>
                <w:lang w:val="en-US"/>
              </w:rPr>
              <w:t xml:space="preserve">It </w:t>
            </w:r>
            <w:r w:rsidR="00311BE2" w:rsidRPr="006B7572">
              <w:rPr>
                <w:rFonts w:ascii="Arial" w:eastAsia="Calibri" w:hAnsi="Arial" w:cs="Arial"/>
                <w:bCs/>
                <w:sz w:val="20"/>
                <w:szCs w:val="20"/>
                <w:lang w:val="en-US"/>
              </w:rPr>
              <w:t xml:space="preserve">is </w:t>
            </w:r>
            <w:r w:rsidR="00311BE2" w:rsidRPr="006B7572">
              <w:rPr>
                <w:rFonts w:ascii="Arial" w:eastAsia="Calibri" w:hAnsi="Arial" w:cs="Arial"/>
                <w:bCs/>
                <w:sz w:val="20"/>
                <w:szCs w:val="20"/>
                <w:u w:val="single"/>
                <w:lang w:val="en-US"/>
              </w:rPr>
              <w:t>not</w:t>
            </w:r>
            <w:r w:rsidR="00311BE2" w:rsidRPr="006B7572">
              <w:rPr>
                <w:rFonts w:ascii="Arial" w:eastAsia="Calibri" w:hAnsi="Arial" w:cs="Arial"/>
                <w:bCs/>
                <w:sz w:val="20"/>
                <w:szCs w:val="20"/>
                <w:lang w:val="en-US"/>
              </w:rPr>
              <w:t xml:space="preserve"> applicable for Low-Income </w:t>
            </w:r>
            <w:r w:rsidR="000A2F7B" w:rsidRPr="006B7572">
              <w:rPr>
                <w:rFonts w:ascii="Arial" w:eastAsia="Calibri" w:hAnsi="Arial" w:cs="Arial"/>
                <w:bCs/>
                <w:sz w:val="20"/>
                <w:szCs w:val="20"/>
                <w:lang w:val="en-US"/>
              </w:rPr>
              <w:t xml:space="preserve">(LI) </w:t>
            </w:r>
            <w:r w:rsidR="00414985" w:rsidRPr="006B7572">
              <w:rPr>
                <w:rFonts w:ascii="Arial" w:eastAsia="Calibri" w:hAnsi="Arial" w:cs="Arial"/>
                <w:bCs/>
                <w:sz w:val="20"/>
                <w:szCs w:val="20"/>
                <w:lang w:val="en-US"/>
              </w:rPr>
              <w:t>c</w:t>
            </w:r>
            <w:r w:rsidR="00311BE2" w:rsidRPr="006B7572">
              <w:rPr>
                <w:rFonts w:ascii="Arial" w:eastAsia="Calibri" w:hAnsi="Arial" w:cs="Arial"/>
                <w:bCs/>
                <w:sz w:val="20"/>
                <w:szCs w:val="20"/>
                <w:lang w:val="en-US"/>
              </w:rPr>
              <w:t>ountries.</w:t>
            </w:r>
          </w:p>
          <w:p w:rsidR="00311BE2" w:rsidRPr="006B7572" w:rsidRDefault="00972638" w:rsidP="00972638">
            <w:pPr>
              <w:keepNext/>
              <w:keepLines/>
              <w:spacing w:after="0" w:line="240" w:lineRule="auto"/>
              <w:jc w:val="both"/>
              <w:rPr>
                <w:rFonts w:ascii="Arial" w:eastAsia="Calibri" w:hAnsi="Arial" w:cs="Arial"/>
                <w:bCs/>
                <w:sz w:val="20"/>
                <w:szCs w:val="20"/>
                <w:lang w:val="en-US"/>
              </w:rPr>
            </w:pPr>
            <w:r w:rsidRPr="006B7572">
              <w:rPr>
                <w:rFonts w:ascii="Arial" w:eastAsia="Calibri" w:hAnsi="Arial" w:cs="Arial"/>
                <w:bCs/>
                <w:sz w:val="20"/>
                <w:szCs w:val="20"/>
                <w:lang w:val="en-US"/>
              </w:rPr>
              <w:t>To respond, r</w:t>
            </w:r>
            <w:r w:rsidR="00340B08" w:rsidRPr="006B7572">
              <w:rPr>
                <w:rFonts w:ascii="Arial" w:eastAsia="Calibri" w:hAnsi="Arial" w:cs="Arial"/>
                <w:bCs/>
                <w:sz w:val="20"/>
                <w:szCs w:val="20"/>
                <w:lang w:val="en-US"/>
              </w:rPr>
              <w:t xml:space="preserve">efer to </w:t>
            </w:r>
            <w:r w:rsidR="005265DB" w:rsidRPr="006B7572">
              <w:rPr>
                <w:rFonts w:ascii="Arial" w:eastAsia="Calibri" w:hAnsi="Arial" w:cs="Arial"/>
                <w:bCs/>
                <w:sz w:val="20"/>
                <w:szCs w:val="20"/>
                <w:lang w:val="en-US"/>
              </w:rPr>
              <w:t xml:space="preserve">guidance </w:t>
            </w:r>
            <w:r w:rsidR="009A251C" w:rsidRPr="006B7572">
              <w:rPr>
                <w:rFonts w:ascii="Arial" w:eastAsia="Calibri" w:hAnsi="Arial" w:cs="Arial"/>
                <w:bCs/>
                <w:sz w:val="20"/>
                <w:szCs w:val="20"/>
                <w:lang w:val="en-US"/>
              </w:rPr>
              <w:t xml:space="preserve">provided </w:t>
            </w:r>
            <w:r w:rsidR="005265DB" w:rsidRPr="006B7572">
              <w:rPr>
                <w:rFonts w:ascii="Arial" w:eastAsia="Calibri" w:hAnsi="Arial" w:cs="Arial"/>
                <w:bCs/>
                <w:sz w:val="20"/>
                <w:szCs w:val="20"/>
                <w:lang w:val="en-US"/>
              </w:rPr>
              <w:t xml:space="preserve">in the </w:t>
            </w:r>
            <w:r w:rsidR="005265DB" w:rsidRPr="006B7572">
              <w:rPr>
                <w:rFonts w:ascii="Arial" w:eastAsia="Calibri" w:hAnsi="Arial" w:cs="Arial"/>
                <w:bCs/>
                <w:i/>
                <w:sz w:val="20"/>
                <w:szCs w:val="20"/>
                <w:lang w:val="en-US"/>
              </w:rPr>
              <w:t>I</w:t>
            </w:r>
            <w:r w:rsidR="00340B08" w:rsidRPr="006B7572">
              <w:rPr>
                <w:rFonts w:ascii="Arial" w:eastAsia="Calibri" w:hAnsi="Arial" w:cs="Arial"/>
                <w:bCs/>
                <w:i/>
                <w:sz w:val="20"/>
                <w:szCs w:val="20"/>
                <w:lang w:val="en-US"/>
              </w:rPr>
              <w:t>nstructions</w:t>
            </w:r>
            <w:r w:rsidR="00485F5B">
              <w:rPr>
                <w:rFonts w:ascii="Arial" w:eastAsia="Calibri" w:hAnsi="Arial" w:cs="Arial"/>
                <w:bCs/>
                <w:i/>
                <w:sz w:val="20"/>
                <w:szCs w:val="20"/>
                <w:lang w:val="en-US"/>
              </w:rPr>
              <w:t>.</w:t>
            </w:r>
          </w:p>
        </w:tc>
      </w:tr>
      <w:tr w:rsidR="0000536F" w:rsidRPr="006B7572" w:rsidTr="00FE411C">
        <w:trPr>
          <w:trHeight w:val="1690"/>
        </w:trPr>
        <w:tc>
          <w:tcPr>
            <w:tcW w:w="6938" w:type="dxa"/>
            <w:vMerge w:val="restart"/>
            <w:shd w:val="clear" w:color="auto" w:fill="F2F2F2" w:themeFill="background1" w:themeFillShade="F2"/>
            <w:vAlign w:val="center"/>
          </w:tcPr>
          <w:p w:rsidR="0000536F" w:rsidRPr="006B7572" w:rsidRDefault="0000536F" w:rsidP="0043346F">
            <w:pPr>
              <w:spacing w:before="120" w:after="120" w:line="240" w:lineRule="auto"/>
              <w:jc w:val="both"/>
              <w:rPr>
                <w:rFonts w:ascii="Arial" w:eastAsia="Calibri" w:hAnsi="Arial" w:cs="Arial"/>
                <w:b/>
                <w:bCs/>
                <w:sz w:val="20"/>
                <w:szCs w:val="20"/>
                <w:lang w:val="en-US"/>
              </w:rPr>
            </w:pPr>
            <w:r w:rsidRPr="006B7572">
              <w:rPr>
                <w:rFonts w:ascii="Arial" w:eastAsia="Calibri" w:hAnsi="Arial" w:cs="Arial"/>
                <w:b/>
                <w:bCs/>
                <w:sz w:val="20"/>
                <w:szCs w:val="20"/>
                <w:lang w:val="en-US"/>
              </w:rPr>
              <w:t>For LMI countries:</w:t>
            </w:r>
          </w:p>
          <w:p w:rsidR="00027F87" w:rsidRPr="006B7572" w:rsidRDefault="0000536F" w:rsidP="007205D8">
            <w:pPr>
              <w:pStyle w:val="ListParagraph"/>
              <w:numPr>
                <w:ilvl w:val="0"/>
                <w:numId w:val="3"/>
              </w:numPr>
              <w:spacing w:before="120" w:after="120" w:line="240" w:lineRule="auto"/>
              <w:ind w:left="417"/>
              <w:jc w:val="both"/>
              <w:rPr>
                <w:rFonts w:ascii="Arial" w:eastAsia="Calibri" w:hAnsi="Arial" w:cs="Arial"/>
                <w:sz w:val="20"/>
                <w:szCs w:val="20"/>
                <w:lang w:val="en-US"/>
              </w:rPr>
            </w:pPr>
            <w:r w:rsidRPr="006B7572">
              <w:rPr>
                <w:rFonts w:ascii="Arial" w:eastAsia="Calibri" w:hAnsi="Arial" w:cs="Arial"/>
                <w:bCs/>
                <w:sz w:val="20"/>
                <w:szCs w:val="20"/>
                <w:lang w:val="en-US"/>
              </w:rPr>
              <w:t xml:space="preserve">Does the </w:t>
            </w:r>
            <w:r w:rsidRPr="006B7572">
              <w:rPr>
                <w:rFonts w:ascii="Arial" w:eastAsia="Calibri" w:hAnsi="Arial" w:cs="Arial"/>
                <w:sz w:val="20"/>
                <w:szCs w:val="20"/>
                <w:lang w:val="en-US"/>
              </w:rPr>
              <w:t>funding request focus at least 50% of the budget on: disease-specific interventions for key and vulnerable populations; programs that address human rights and gender-related barriers</w:t>
            </w:r>
            <w:r w:rsidR="00027F87" w:rsidRPr="006B7572">
              <w:rPr>
                <w:rFonts w:ascii="Arial" w:eastAsia="Calibri" w:hAnsi="Arial" w:cs="Arial"/>
                <w:sz w:val="20"/>
                <w:szCs w:val="20"/>
                <w:lang w:val="en-US"/>
              </w:rPr>
              <w:t xml:space="preserve"> and vulnerabilities</w:t>
            </w:r>
            <w:r w:rsidRPr="006B7572">
              <w:rPr>
                <w:rFonts w:ascii="Arial" w:eastAsia="Calibri" w:hAnsi="Arial" w:cs="Arial"/>
                <w:sz w:val="20"/>
                <w:szCs w:val="20"/>
                <w:lang w:val="en-US"/>
              </w:rPr>
              <w:t>; and/or highest impact interventions?</w:t>
            </w:r>
          </w:p>
          <w:p w:rsidR="00027F87" w:rsidRPr="006B7572" w:rsidRDefault="00027F87" w:rsidP="00027F87">
            <w:pPr>
              <w:pStyle w:val="ListParagraph"/>
              <w:spacing w:before="120" w:after="120" w:line="240" w:lineRule="auto"/>
              <w:ind w:left="417"/>
              <w:jc w:val="both"/>
              <w:rPr>
                <w:rFonts w:ascii="Arial" w:eastAsia="Calibri" w:hAnsi="Arial" w:cs="Arial"/>
                <w:sz w:val="20"/>
                <w:szCs w:val="20"/>
                <w:lang w:val="en-US"/>
              </w:rPr>
            </w:pPr>
          </w:p>
          <w:p w:rsidR="0000536F" w:rsidRPr="00096485" w:rsidRDefault="0000536F" w:rsidP="007205D8">
            <w:pPr>
              <w:pStyle w:val="ListParagraph"/>
              <w:numPr>
                <w:ilvl w:val="0"/>
                <w:numId w:val="3"/>
              </w:numPr>
              <w:spacing w:before="120" w:after="120" w:line="240" w:lineRule="auto"/>
              <w:ind w:left="417"/>
              <w:jc w:val="both"/>
              <w:rPr>
                <w:rFonts w:ascii="Arial" w:eastAsia="Calibri" w:hAnsi="Arial" w:cs="Arial"/>
                <w:bCs/>
                <w:color w:val="BFBFBF" w:themeColor="background1" w:themeShade="BF"/>
                <w:sz w:val="20"/>
                <w:szCs w:val="20"/>
                <w:lang w:val="en-US"/>
              </w:rPr>
            </w:pPr>
            <w:r w:rsidRPr="00096485">
              <w:rPr>
                <w:rFonts w:ascii="Arial" w:eastAsia="Calibri" w:hAnsi="Arial" w:cs="Arial"/>
                <w:bCs/>
                <w:color w:val="BFBFBF" w:themeColor="background1" w:themeShade="BF"/>
                <w:sz w:val="20"/>
                <w:szCs w:val="20"/>
                <w:lang w:val="en-US"/>
              </w:rPr>
              <w:t>For RSSH, does the funding request primarily focus on improving overall program outcomes for key and vulnerable populations in two or more of the diseases</w:t>
            </w:r>
            <w:r w:rsidR="00027F87" w:rsidRPr="00096485">
              <w:rPr>
                <w:rFonts w:ascii="Arial" w:eastAsia="Calibri" w:hAnsi="Arial" w:cs="Arial"/>
                <w:bCs/>
                <w:color w:val="BFBFBF" w:themeColor="background1" w:themeShade="BF"/>
                <w:sz w:val="20"/>
                <w:szCs w:val="20"/>
                <w:lang w:val="en-US"/>
              </w:rPr>
              <w:t>,</w:t>
            </w:r>
            <w:r w:rsidRPr="00096485">
              <w:rPr>
                <w:rFonts w:ascii="Arial" w:eastAsia="Calibri" w:hAnsi="Arial" w:cs="Arial"/>
                <w:bCs/>
                <w:color w:val="BFBFBF" w:themeColor="background1" w:themeShade="BF"/>
                <w:sz w:val="20"/>
                <w:szCs w:val="20"/>
                <w:lang w:val="en-US"/>
              </w:rPr>
              <w:t xml:space="preserve"> and </w:t>
            </w:r>
            <w:r w:rsidR="00027F87" w:rsidRPr="00096485">
              <w:rPr>
                <w:rFonts w:ascii="Arial" w:eastAsia="Calibri" w:hAnsi="Arial" w:cs="Arial"/>
                <w:bCs/>
                <w:color w:val="BFBFBF" w:themeColor="background1" w:themeShade="BF"/>
                <w:sz w:val="20"/>
                <w:szCs w:val="20"/>
                <w:lang w:val="en-US"/>
              </w:rPr>
              <w:t xml:space="preserve">is it </w:t>
            </w:r>
            <w:r w:rsidRPr="00096485">
              <w:rPr>
                <w:rFonts w:ascii="Arial" w:eastAsia="Calibri" w:hAnsi="Arial" w:cs="Arial"/>
                <w:bCs/>
                <w:color w:val="BFBFBF" w:themeColor="background1" w:themeShade="BF"/>
                <w:sz w:val="20"/>
                <w:szCs w:val="20"/>
                <w:lang w:val="en-US"/>
              </w:rPr>
              <w:t>targeted to support scale-up, efficiency and alignment of interventions</w:t>
            </w:r>
            <w:r w:rsidR="00027F87" w:rsidRPr="00096485">
              <w:rPr>
                <w:rFonts w:ascii="Arial" w:eastAsia="Calibri" w:hAnsi="Arial" w:cs="Arial"/>
                <w:bCs/>
                <w:color w:val="BFBFBF" w:themeColor="background1" w:themeShade="BF"/>
                <w:sz w:val="20"/>
                <w:szCs w:val="20"/>
                <w:lang w:val="en-US"/>
              </w:rPr>
              <w:t>?</w:t>
            </w:r>
          </w:p>
        </w:tc>
        <w:tc>
          <w:tcPr>
            <w:tcW w:w="2135" w:type="dxa"/>
            <w:shd w:val="clear" w:color="auto" w:fill="auto"/>
            <w:vAlign w:val="center"/>
          </w:tcPr>
          <w:p w:rsidR="0000536F" w:rsidRPr="006B7572" w:rsidRDefault="00817B52" w:rsidP="0043346F">
            <w:pPr>
              <w:spacing w:before="120" w:after="120" w:line="240" w:lineRule="auto"/>
              <w:jc w:val="both"/>
              <w:rPr>
                <w:rFonts w:ascii="Arial" w:eastAsia="Calibri" w:hAnsi="Arial" w:cs="Arial"/>
                <w:b/>
                <w:bCs/>
                <w:sz w:val="20"/>
                <w:szCs w:val="20"/>
                <w:lang w:val="en-US"/>
              </w:rPr>
            </w:pPr>
            <w:sdt>
              <w:sdtPr>
                <w:rPr>
                  <w:rFonts w:ascii="Arial" w:eastAsia="Calibri" w:hAnsi="Arial" w:cs="Arial"/>
                  <w:b/>
                  <w:bCs/>
                  <w:iCs/>
                  <w:sz w:val="20"/>
                  <w:szCs w:val="20"/>
                  <w:lang w:val="en-US"/>
                </w:rPr>
                <w:id w:val="-1926949538"/>
              </w:sdtPr>
              <w:sdtContent>
                <w:r w:rsidR="00D84739">
                  <w:rPr>
                    <w:rFonts w:ascii="MS Gothic" w:eastAsia="MS Gothic" w:hAnsi="MS Gothic" w:cs="Arial" w:hint="eastAsia"/>
                    <w:b/>
                    <w:bCs/>
                    <w:iCs/>
                    <w:sz w:val="20"/>
                    <w:szCs w:val="20"/>
                    <w:lang w:val="en-US"/>
                  </w:rPr>
                  <w:t>☒</w:t>
                </w:r>
              </w:sdtContent>
            </w:sdt>
            <w:r w:rsidR="0000536F" w:rsidRPr="00C932D1">
              <w:rPr>
                <w:rFonts w:ascii="Arial" w:eastAsia="Calibri" w:hAnsi="Arial" w:cs="Arial"/>
                <w:b/>
                <w:bCs/>
                <w:iCs/>
                <w:sz w:val="20"/>
                <w:szCs w:val="20"/>
                <w:lang w:val="en-US"/>
              </w:rPr>
              <w:t xml:space="preserve"> Yes</w:t>
            </w:r>
            <w:sdt>
              <w:sdtPr>
                <w:rPr>
                  <w:rFonts w:ascii="Arial" w:eastAsia="Calibri" w:hAnsi="Arial" w:cs="Arial"/>
                  <w:bCs/>
                  <w:iCs/>
                  <w:color w:val="BFBFBF" w:themeColor="background1" w:themeShade="BF"/>
                  <w:sz w:val="20"/>
                  <w:szCs w:val="20"/>
                  <w:lang w:val="en-US"/>
                </w:rPr>
                <w:id w:val="61690273"/>
              </w:sdtPr>
              <w:sdtContent>
                <w:r w:rsidR="0000536F" w:rsidRPr="007278D6">
                  <w:rPr>
                    <w:rFonts w:ascii="Segoe UI Symbol" w:eastAsia="Calibri" w:hAnsi="Segoe UI Symbol" w:cs="Segoe UI Symbol"/>
                    <w:bCs/>
                    <w:iCs/>
                    <w:color w:val="BFBFBF" w:themeColor="background1" w:themeShade="BF"/>
                    <w:sz w:val="20"/>
                    <w:szCs w:val="20"/>
                    <w:lang w:val="en-US"/>
                  </w:rPr>
                  <w:t>☐</w:t>
                </w:r>
              </w:sdtContent>
            </w:sdt>
            <w:r w:rsidR="0000536F" w:rsidRPr="007278D6">
              <w:rPr>
                <w:rFonts w:ascii="Arial" w:eastAsia="Calibri" w:hAnsi="Arial" w:cs="Arial"/>
                <w:bCs/>
                <w:iCs/>
                <w:color w:val="BFBFBF" w:themeColor="background1" w:themeShade="BF"/>
                <w:sz w:val="20"/>
                <w:szCs w:val="20"/>
                <w:lang w:val="en-US"/>
              </w:rPr>
              <w:t xml:space="preserve"> No</w:t>
            </w:r>
          </w:p>
        </w:tc>
      </w:tr>
      <w:tr w:rsidR="0000536F" w:rsidRPr="006B7572" w:rsidTr="00FE411C">
        <w:trPr>
          <w:trHeight w:val="985"/>
        </w:trPr>
        <w:tc>
          <w:tcPr>
            <w:tcW w:w="6938" w:type="dxa"/>
            <w:vMerge/>
            <w:shd w:val="clear" w:color="auto" w:fill="F2F2F2" w:themeFill="background1" w:themeFillShade="F2"/>
            <w:vAlign w:val="center"/>
          </w:tcPr>
          <w:p w:rsidR="0000536F" w:rsidRPr="006B7572" w:rsidRDefault="0000536F" w:rsidP="0000536F">
            <w:pPr>
              <w:spacing w:before="120" w:after="120" w:line="240" w:lineRule="auto"/>
              <w:jc w:val="both"/>
              <w:rPr>
                <w:rFonts w:ascii="Arial" w:eastAsia="Calibri" w:hAnsi="Arial" w:cs="Arial"/>
                <w:b/>
                <w:bCs/>
                <w:sz w:val="20"/>
                <w:szCs w:val="20"/>
                <w:lang w:val="en-US"/>
              </w:rPr>
            </w:pPr>
          </w:p>
        </w:tc>
        <w:tc>
          <w:tcPr>
            <w:tcW w:w="2135" w:type="dxa"/>
            <w:shd w:val="clear" w:color="auto" w:fill="auto"/>
            <w:vAlign w:val="center"/>
          </w:tcPr>
          <w:p w:rsidR="0000536F" w:rsidRPr="00096485" w:rsidRDefault="00817B52" w:rsidP="0000536F">
            <w:pPr>
              <w:spacing w:before="120" w:after="120" w:line="240" w:lineRule="auto"/>
              <w:jc w:val="both"/>
              <w:rPr>
                <w:rFonts w:ascii="Arial" w:eastAsia="Calibri" w:hAnsi="Arial" w:cs="Arial"/>
                <w:bCs/>
                <w:iCs/>
                <w:color w:val="BFBFBF" w:themeColor="background1" w:themeShade="BF"/>
                <w:sz w:val="20"/>
                <w:szCs w:val="20"/>
                <w:lang w:val="en-US"/>
              </w:rPr>
            </w:pPr>
            <w:sdt>
              <w:sdtPr>
                <w:rPr>
                  <w:rFonts w:ascii="Arial" w:eastAsia="Calibri" w:hAnsi="Arial" w:cs="Arial"/>
                  <w:bCs/>
                  <w:iCs/>
                  <w:color w:val="BFBFBF" w:themeColor="background1" w:themeShade="BF"/>
                  <w:sz w:val="20"/>
                  <w:szCs w:val="20"/>
                  <w:lang w:val="en-US"/>
                </w:rPr>
                <w:id w:val="-457260474"/>
              </w:sdtPr>
              <w:sdtContent>
                <w:r w:rsidR="0000536F" w:rsidRPr="00096485">
                  <w:rPr>
                    <w:rFonts w:ascii="Segoe UI Symbol" w:eastAsia="MS Gothic" w:hAnsi="Segoe UI Symbol" w:cs="Segoe UI Symbol"/>
                    <w:bCs/>
                    <w:iCs/>
                    <w:color w:val="BFBFBF" w:themeColor="background1" w:themeShade="BF"/>
                    <w:sz w:val="20"/>
                    <w:szCs w:val="20"/>
                    <w:lang w:val="en-US"/>
                  </w:rPr>
                  <w:t>☐</w:t>
                </w:r>
              </w:sdtContent>
            </w:sdt>
            <w:r w:rsidR="0000536F" w:rsidRPr="00096485">
              <w:rPr>
                <w:rFonts w:ascii="Arial" w:eastAsia="Calibri" w:hAnsi="Arial" w:cs="Arial"/>
                <w:bCs/>
                <w:iCs/>
                <w:color w:val="BFBFBF" w:themeColor="background1" w:themeShade="BF"/>
                <w:sz w:val="20"/>
                <w:szCs w:val="20"/>
                <w:lang w:val="en-US"/>
              </w:rPr>
              <w:t xml:space="preserve"> Yes         </w:t>
            </w:r>
            <w:sdt>
              <w:sdtPr>
                <w:rPr>
                  <w:rFonts w:ascii="Arial" w:eastAsia="Calibri" w:hAnsi="Arial" w:cs="Arial"/>
                  <w:bCs/>
                  <w:iCs/>
                  <w:color w:val="BFBFBF" w:themeColor="background1" w:themeShade="BF"/>
                  <w:sz w:val="20"/>
                  <w:szCs w:val="20"/>
                  <w:lang w:val="en-US"/>
                </w:rPr>
                <w:id w:val="1349053904"/>
              </w:sdtPr>
              <w:sdtContent>
                <w:r w:rsidR="0000536F" w:rsidRPr="00096485">
                  <w:rPr>
                    <w:rFonts w:ascii="Segoe UI Symbol" w:eastAsia="Calibri" w:hAnsi="Segoe UI Symbol" w:cs="Segoe UI Symbol"/>
                    <w:bCs/>
                    <w:iCs/>
                    <w:color w:val="BFBFBF" w:themeColor="background1" w:themeShade="BF"/>
                    <w:sz w:val="20"/>
                    <w:szCs w:val="20"/>
                    <w:lang w:val="en-US"/>
                  </w:rPr>
                  <w:t>☐</w:t>
                </w:r>
              </w:sdtContent>
            </w:sdt>
            <w:r w:rsidR="0000536F" w:rsidRPr="00096485">
              <w:rPr>
                <w:rFonts w:ascii="Arial" w:eastAsia="Calibri" w:hAnsi="Arial" w:cs="Arial"/>
                <w:bCs/>
                <w:iCs/>
                <w:color w:val="BFBFBF" w:themeColor="background1" w:themeShade="BF"/>
                <w:sz w:val="20"/>
                <w:szCs w:val="20"/>
                <w:lang w:val="en-US"/>
              </w:rPr>
              <w:t xml:space="preserve"> No</w:t>
            </w:r>
          </w:p>
        </w:tc>
      </w:tr>
      <w:tr w:rsidR="0000536F" w:rsidRPr="006B7572" w:rsidTr="00FE411C">
        <w:trPr>
          <w:trHeight w:val="553"/>
        </w:trPr>
        <w:tc>
          <w:tcPr>
            <w:tcW w:w="6938" w:type="dxa"/>
            <w:shd w:val="clear" w:color="auto" w:fill="F2F2F2" w:themeFill="background1" w:themeFillShade="F2"/>
            <w:vAlign w:val="center"/>
          </w:tcPr>
          <w:p w:rsidR="0000536F" w:rsidRPr="00096485" w:rsidRDefault="0000536F" w:rsidP="0000536F">
            <w:pPr>
              <w:spacing w:before="120" w:after="120" w:line="240" w:lineRule="auto"/>
              <w:jc w:val="both"/>
              <w:rPr>
                <w:rFonts w:ascii="Arial" w:eastAsia="Calibri" w:hAnsi="Arial" w:cs="Arial"/>
                <w:b/>
                <w:bCs/>
                <w:color w:val="BFBFBF" w:themeColor="background1" w:themeShade="BF"/>
                <w:sz w:val="20"/>
                <w:szCs w:val="20"/>
                <w:lang w:val="en-US"/>
              </w:rPr>
            </w:pPr>
            <w:r w:rsidRPr="00096485">
              <w:rPr>
                <w:rFonts w:ascii="Arial" w:eastAsia="Calibri" w:hAnsi="Arial" w:cs="Arial"/>
                <w:b/>
                <w:bCs/>
                <w:color w:val="BFBFBF" w:themeColor="background1" w:themeShade="BF"/>
                <w:sz w:val="20"/>
                <w:szCs w:val="20"/>
                <w:lang w:val="en-US"/>
              </w:rPr>
              <w:t>For UMI countries:</w:t>
            </w:r>
          </w:p>
          <w:p w:rsidR="0000536F" w:rsidRPr="006B7572" w:rsidRDefault="0000536F" w:rsidP="007205D8">
            <w:pPr>
              <w:pStyle w:val="ListParagraph"/>
              <w:keepNext/>
              <w:keepLines/>
              <w:numPr>
                <w:ilvl w:val="0"/>
                <w:numId w:val="3"/>
              </w:numPr>
              <w:spacing w:before="120" w:after="120" w:line="240" w:lineRule="auto"/>
              <w:ind w:left="417"/>
              <w:jc w:val="both"/>
              <w:rPr>
                <w:rFonts w:ascii="Arial" w:eastAsia="Calibri" w:hAnsi="Arial" w:cs="Arial"/>
                <w:b/>
                <w:bCs/>
                <w:sz w:val="20"/>
                <w:szCs w:val="20"/>
                <w:lang w:val="en-US"/>
              </w:rPr>
            </w:pPr>
            <w:r w:rsidRPr="00096485">
              <w:rPr>
                <w:rFonts w:ascii="Arial" w:eastAsia="Calibri" w:hAnsi="Arial" w:cs="Arial"/>
                <w:bCs/>
                <w:color w:val="BFBFBF" w:themeColor="background1" w:themeShade="BF"/>
                <w:sz w:val="20"/>
                <w:szCs w:val="20"/>
                <w:lang w:val="en-US"/>
              </w:rPr>
              <w:t>Does</w:t>
            </w:r>
            <w:r w:rsidRPr="00096485">
              <w:rPr>
                <w:rFonts w:ascii="Arial" w:eastAsia="Calibri" w:hAnsi="Arial" w:cs="Arial"/>
                <w:color w:val="BFBFBF" w:themeColor="background1" w:themeShade="BF"/>
                <w:sz w:val="20"/>
                <w:szCs w:val="20"/>
                <w:lang w:val="en-US"/>
              </w:rPr>
              <w:t xml:space="preserve">the funding request focus 100% of the budget on interventions that maintain or scale-up evidence-based </w:t>
            </w:r>
            <w:r w:rsidR="00027F87" w:rsidRPr="00096485">
              <w:rPr>
                <w:rFonts w:ascii="Arial" w:eastAsia="Calibri" w:hAnsi="Arial" w:cs="Arial"/>
                <w:color w:val="BFBFBF" w:themeColor="background1" w:themeShade="BF"/>
                <w:sz w:val="20"/>
                <w:szCs w:val="20"/>
                <w:lang w:val="en-US"/>
              </w:rPr>
              <w:t>approaches</w:t>
            </w:r>
            <w:r w:rsidRPr="00096485">
              <w:rPr>
                <w:rFonts w:ascii="Arial" w:eastAsia="Calibri" w:hAnsi="Arial" w:cs="Arial"/>
                <w:color w:val="BFBFBF" w:themeColor="background1" w:themeShade="BF"/>
                <w:sz w:val="20"/>
                <w:szCs w:val="20"/>
                <w:lang w:val="en-US"/>
              </w:rPr>
              <w:t xml:space="preserve"> for key and vulnerable populations</w:t>
            </w:r>
            <w:r w:rsidR="00027F87" w:rsidRPr="00096485">
              <w:rPr>
                <w:rFonts w:ascii="Arial" w:eastAsia="Calibri" w:hAnsi="Arial" w:cs="Arial"/>
                <w:color w:val="BFBFBF" w:themeColor="background1" w:themeShade="BF"/>
                <w:sz w:val="20"/>
                <w:szCs w:val="20"/>
                <w:lang w:val="en-US"/>
              </w:rPr>
              <w:t>,</w:t>
            </w:r>
            <w:r w:rsidRPr="00096485">
              <w:rPr>
                <w:rFonts w:ascii="Arial" w:eastAsia="Calibri" w:hAnsi="Arial" w:cs="Arial"/>
                <w:color w:val="BFBFBF" w:themeColor="background1" w:themeShade="BF"/>
                <w:sz w:val="20"/>
                <w:szCs w:val="20"/>
                <w:lang w:val="en-US"/>
              </w:rPr>
              <w:t xml:space="preserve"> including programs that address human rights and gender-related barriers and vulnerabilities?</w:t>
            </w:r>
          </w:p>
        </w:tc>
        <w:tc>
          <w:tcPr>
            <w:tcW w:w="2135" w:type="dxa"/>
            <w:shd w:val="clear" w:color="auto" w:fill="auto"/>
            <w:vAlign w:val="center"/>
          </w:tcPr>
          <w:p w:rsidR="0000536F" w:rsidRPr="00096485" w:rsidRDefault="00817B52" w:rsidP="0000536F">
            <w:pPr>
              <w:keepNext/>
              <w:keepLines/>
              <w:spacing w:before="120" w:after="120" w:line="240" w:lineRule="auto"/>
              <w:jc w:val="both"/>
              <w:rPr>
                <w:rFonts w:ascii="Arial" w:eastAsia="Calibri" w:hAnsi="Arial" w:cs="Arial"/>
                <w:b/>
                <w:bCs/>
                <w:color w:val="BFBFBF" w:themeColor="background1" w:themeShade="BF"/>
                <w:sz w:val="20"/>
                <w:szCs w:val="20"/>
                <w:lang w:val="en-US"/>
              </w:rPr>
            </w:pPr>
            <w:sdt>
              <w:sdtPr>
                <w:rPr>
                  <w:rFonts w:ascii="Arial" w:eastAsia="Calibri" w:hAnsi="Arial" w:cs="Arial"/>
                  <w:bCs/>
                  <w:iCs/>
                  <w:color w:val="BFBFBF" w:themeColor="background1" w:themeShade="BF"/>
                  <w:sz w:val="20"/>
                  <w:szCs w:val="20"/>
                  <w:lang w:val="en-US"/>
                </w:rPr>
                <w:id w:val="561459683"/>
              </w:sdtPr>
              <w:sdtContent>
                <w:r w:rsidR="0000536F" w:rsidRPr="00096485">
                  <w:rPr>
                    <w:rFonts w:ascii="Segoe UI Symbol" w:eastAsia="MS Gothic" w:hAnsi="Segoe UI Symbol" w:cs="Segoe UI Symbol"/>
                    <w:bCs/>
                    <w:iCs/>
                    <w:color w:val="BFBFBF" w:themeColor="background1" w:themeShade="BF"/>
                    <w:sz w:val="20"/>
                    <w:szCs w:val="20"/>
                    <w:lang w:val="en-US"/>
                  </w:rPr>
                  <w:t>☐</w:t>
                </w:r>
              </w:sdtContent>
            </w:sdt>
            <w:r w:rsidR="0000536F" w:rsidRPr="00096485">
              <w:rPr>
                <w:rFonts w:ascii="Arial" w:eastAsia="Calibri" w:hAnsi="Arial" w:cs="Arial"/>
                <w:bCs/>
                <w:iCs/>
                <w:color w:val="BFBFBF" w:themeColor="background1" w:themeShade="BF"/>
                <w:sz w:val="20"/>
                <w:szCs w:val="20"/>
                <w:lang w:val="en-US"/>
              </w:rPr>
              <w:t xml:space="preserve"> Yes         </w:t>
            </w:r>
            <w:sdt>
              <w:sdtPr>
                <w:rPr>
                  <w:rFonts w:ascii="Arial" w:eastAsia="Calibri" w:hAnsi="Arial" w:cs="Arial"/>
                  <w:bCs/>
                  <w:iCs/>
                  <w:color w:val="BFBFBF" w:themeColor="background1" w:themeShade="BF"/>
                  <w:sz w:val="20"/>
                  <w:szCs w:val="20"/>
                  <w:lang w:val="en-US"/>
                </w:rPr>
                <w:id w:val="763809565"/>
              </w:sdtPr>
              <w:sdtContent>
                <w:r w:rsidR="0000536F" w:rsidRPr="00096485">
                  <w:rPr>
                    <w:rFonts w:ascii="Segoe UI Symbol" w:eastAsia="Calibri" w:hAnsi="Segoe UI Symbol" w:cs="Segoe UI Symbol"/>
                    <w:bCs/>
                    <w:iCs/>
                    <w:color w:val="BFBFBF" w:themeColor="background1" w:themeShade="BF"/>
                    <w:sz w:val="20"/>
                    <w:szCs w:val="20"/>
                    <w:lang w:val="en-US"/>
                  </w:rPr>
                  <w:t>☐</w:t>
                </w:r>
              </w:sdtContent>
            </w:sdt>
            <w:r w:rsidR="0000536F" w:rsidRPr="00096485">
              <w:rPr>
                <w:rFonts w:ascii="Arial" w:eastAsia="Calibri" w:hAnsi="Arial" w:cs="Arial"/>
                <w:bCs/>
                <w:iCs/>
                <w:color w:val="BFBFBF" w:themeColor="background1" w:themeShade="BF"/>
                <w:sz w:val="20"/>
                <w:szCs w:val="20"/>
                <w:lang w:val="en-US"/>
              </w:rPr>
              <w:t xml:space="preserve"> No</w:t>
            </w:r>
          </w:p>
        </w:tc>
      </w:tr>
      <w:tr w:rsidR="0000536F" w:rsidRPr="006B7572" w:rsidTr="00FE411C">
        <w:trPr>
          <w:trHeight w:val="746"/>
        </w:trPr>
        <w:tc>
          <w:tcPr>
            <w:tcW w:w="9073" w:type="dxa"/>
            <w:gridSpan w:val="2"/>
            <w:shd w:val="clear" w:color="auto" w:fill="F2F2F2" w:themeFill="background1" w:themeFillShade="F2"/>
            <w:vAlign w:val="center"/>
          </w:tcPr>
          <w:p w:rsidR="0000536F" w:rsidRPr="006B7572" w:rsidRDefault="00027F87" w:rsidP="00027F87">
            <w:pPr>
              <w:keepNext/>
              <w:keepLines/>
              <w:spacing w:before="120" w:after="120" w:line="240" w:lineRule="auto"/>
              <w:jc w:val="both"/>
              <w:rPr>
                <w:rFonts w:ascii="Arial" w:eastAsia="Calibri" w:hAnsi="Arial" w:cs="Arial"/>
                <w:b/>
                <w:sz w:val="20"/>
                <w:szCs w:val="20"/>
                <w:lang w:val="en-US"/>
              </w:rPr>
            </w:pPr>
            <w:r w:rsidRPr="006B7572">
              <w:rPr>
                <w:rFonts w:ascii="Arial" w:eastAsia="Calibri" w:hAnsi="Arial" w:cs="Arial"/>
                <w:b/>
                <w:bCs/>
                <w:sz w:val="20"/>
                <w:szCs w:val="20"/>
                <w:lang w:val="en-US"/>
              </w:rPr>
              <w:t>E</w:t>
            </w:r>
            <w:r w:rsidR="0000536F" w:rsidRPr="006B7572">
              <w:rPr>
                <w:rFonts w:ascii="Arial" w:eastAsia="Calibri" w:hAnsi="Arial" w:cs="Arial"/>
                <w:b/>
                <w:bCs/>
                <w:sz w:val="20"/>
                <w:szCs w:val="20"/>
                <w:lang w:val="en-US"/>
              </w:rPr>
              <w:t xml:space="preserve">nsure that the funding request as described in </w:t>
            </w:r>
            <w:r w:rsidRPr="006B7572">
              <w:rPr>
                <w:rFonts w:ascii="Arial" w:eastAsia="Calibri" w:hAnsi="Arial" w:cs="Arial"/>
                <w:b/>
                <w:bCs/>
                <w:sz w:val="20"/>
                <w:szCs w:val="20"/>
                <w:lang w:val="en-US"/>
              </w:rPr>
              <w:t>questions</w:t>
            </w:r>
            <w:r w:rsidR="0000536F" w:rsidRPr="006B7572">
              <w:rPr>
                <w:rFonts w:ascii="Arial" w:eastAsia="Calibri" w:hAnsi="Arial" w:cs="Arial"/>
                <w:b/>
                <w:bCs/>
                <w:sz w:val="20"/>
                <w:szCs w:val="20"/>
                <w:lang w:val="en-US"/>
              </w:rPr>
              <w:t xml:space="preserve"> 2.1 and/or 2.2 meet</w:t>
            </w:r>
            <w:r w:rsidR="008945F5" w:rsidRPr="006B7572">
              <w:rPr>
                <w:rFonts w:ascii="Arial" w:eastAsia="Calibri" w:hAnsi="Arial" w:cs="Arial"/>
                <w:b/>
                <w:bCs/>
                <w:sz w:val="20"/>
                <w:szCs w:val="20"/>
                <w:lang w:val="en-US"/>
              </w:rPr>
              <w:t>s</w:t>
            </w:r>
            <w:r w:rsidR="0000536F" w:rsidRPr="006B7572">
              <w:rPr>
                <w:rFonts w:ascii="Arial" w:eastAsia="Calibri" w:hAnsi="Arial" w:cs="Arial"/>
                <w:b/>
                <w:bCs/>
                <w:sz w:val="20"/>
                <w:szCs w:val="20"/>
                <w:lang w:val="en-US"/>
              </w:rPr>
              <w:t xml:space="preserve"> this focus of application requirement. </w:t>
            </w:r>
          </w:p>
        </w:tc>
      </w:tr>
    </w:tbl>
    <w:p w:rsidR="00FC77AC" w:rsidRPr="007B13AE" w:rsidRDefault="007B13AE" w:rsidP="00366E9D">
      <w:pPr>
        <w:spacing w:before="240"/>
        <w:rPr>
          <w:rFonts w:ascii="Arial" w:hAnsi="Arial" w:cs="Arial"/>
          <w:sz w:val="20"/>
          <w:szCs w:val="20"/>
        </w:rPr>
      </w:pPr>
      <w:r w:rsidRPr="007B13AE">
        <w:rPr>
          <w:rFonts w:ascii="Arial" w:eastAsia="SimSun" w:hAnsi="Arial"/>
          <w:sz w:val="20"/>
          <w:szCs w:val="20"/>
          <w:lang w:eastAsia="zh-CN"/>
        </w:rPr>
        <w:t xml:space="preserve">As described in section 1.2 above, </w:t>
      </w:r>
      <w:r w:rsidRPr="007B13AE">
        <w:rPr>
          <w:rFonts w:ascii="Arial" w:hAnsi="Arial"/>
          <w:sz w:val="20"/>
          <w:szCs w:val="20"/>
        </w:rPr>
        <w:t xml:space="preserve">malaria in Bangladesh is closely associated with poverty. Mobile and marginalized migrant populations and minority groups working or living in the forest and on the forest fringes often carry the greatest burden of both poverty and disease. These are the key populations of concern in the national malaria control and elimination effort. Well-targeted malaria control efforts by their nature therefore cater to the needs of some of the least privileged. </w:t>
      </w:r>
      <w:r w:rsidRPr="007B13AE">
        <w:rPr>
          <w:rFonts w:ascii="Arial" w:eastAsia="SimSun" w:hAnsi="Arial"/>
          <w:sz w:val="20"/>
          <w:szCs w:val="20"/>
          <w:lang w:eastAsia="zh-CN"/>
        </w:rPr>
        <w:t>This, together with the rigorous activity prioritization process employed in the development of the NSP budget and the subsequent careful selection of activities for inclusion in this request (described in section 2.1 above) mean that at least 90% of the proposed budget will go towards supporting what can be considered to be ‘highest impact’ interventions focused on underserved and key populations.</w:t>
      </w:r>
      <w:r w:rsidR="00FC77AC" w:rsidRPr="007B13AE">
        <w:rPr>
          <w:rFonts w:ascii="Arial" w:hAnsi="Arial" w:cs="Arial"/>
          <w:sz w:val="20"/>
          <w:szCs w:val="20"/>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9045"/>
      </w:tblGrid>
      <w:tr w:rsidR="005A62F6" w:rsidRPr="006B7572" w:rsidTr="008547FF">
        <w:trPr>
          <w:trHeight w:val="409"/>
          <w:jc w:val="center"/>
        </w:trPr>
        <w:tc>
          <w:tcPr>
            <w:tcW w:w="9045" w:type="dxa"/>
            <w:shd w:val="clear" w:color="auto" w:fill="1F497D"/>
            <w:vAlign w:val="center"/>
          </w:tcPr>
          <w:p w:rsidR="005A62F6" w:rsidRPr="006B7572" w:rsidRDefault="005A62F6" w:rsidP="005A62F6">
            <w:pPr>
              <w:spacing w:after="0" w:line="240" w:lineRule="auto"/>
              <w:rPr>
                <w:rFonts w:ascii="Arial" w:eastAsia="Calibri" w:hAnsi="Arial" w:cs="Arial"/>
                <w:b/>
                <w:bCs/>
                <w:color w:val="FFFFFF"/>
                <w:sz w:val="20"/>
                <w:szCs w:val="20"/>
                <w:lang w:val="en-US"/>
              </w:rPr>
            </w:pPr>
            <w:r w:rsidRPr="006B7572">
              <w:rPr>
                <w:rFonts w:ascii="Arial" w:eastAsia="SimSun" w:hAnsi="Arial" w:cs="Arial"/>
                <w:b/>
                <w:color w:val="FFFFFF"/>
                <w:sz w:val="20"/>
                <w:szCs w:val="20"/>
                <w:lang w:val="en-US" w:eastAsia="zh-CN"/>
              </w:rPr>
              <w:lastRenderedPageBreak/>
              <w:t>SECTION 3: OPERATIONALIZATION AND RISK MITIGATION</w:t>
            </w:r>
          </w:p>
        </w:tc>
      </w:tr>
      <w:tr w:rsidR="005A62F6" w:rsidRPr="006B7572" w:rsidTr="008547FF">
        <w:trPr>
          <w:trHeight w:val="847"/>
          <w:jc w:val="center"/>
        </w:trPr>
        <w:tc>
          <w:tcPr>
            <w:tcW w:w="9045" w:type="dxa"/>
            <w:shd w:val="clear" w:color="auto" w:fill="F2F2F2" w:themeFill="background1" w:themeFillShade="F2"/>
            <w:vAlign w:val="center"/>
          </w:tcPr>
          <w:p w:rsidR="005A62F6" w:rsidRPr="006B7572" w:rsidRDefault="002174A0" w:rsidP="006C0AFC">
            <w:pPr>
              <w:spacing w:after="0" w:line="240" w:lineRule="auto"/>
              <w:jc w:val="both"/>
              <w:rPr>
                <w:rFonts w:ascii="Arial" w:eastAsia="Calibri" w:hAnsi="Arial" w:cs="Arial"/>
                <w:b/>
                <w:bCs/>
                <w:iCs/>
                <w:sz w:val="20"/>
                <w:szCs w:val="20"/>
                <w:lang w:val="en-US"/>
              </w:rPr>
            </w:pPr>
            <w:r w:rsidRPr="006B7572">
              <w:rPr>
                <w:rFonts w:ascii="Arial" w:hAnsi="Arial" w:cs="Arial"/>
                <w:bCs/>
                <w:iCs/>
                <w:sz w:val="20"/>
                <w:szCs w:val="20"/>
              </w:rPr>
              <w:t>This section describes the</w:t>
            </w:r>
            <w:r w:rsidR="006E048B" w:rsidRPr="006B7572">
              <w:rPr>
                <w:rFonts w:ascii="Arial" w:hAnsi="Arial" w:cs="Arial"/>
                <w:bCs/>
                <w:iCs/>
                <w:sz w:val="20"/>
                <w:szCs w:val="20"/>
              </w:rPr>
              <w:t xml:space="preserve"> planned</w:t>
            </w:r>
            <w:r w:rsidR="00E16725" w:rsidRPr="006B7572">
              <w:rPr>
                <w:rFonts w:ascii="Arial" w:hAnsi="Arial" w:cs="Arial"/>
                <w:bCs/>
                <w:iCs/>
                <w:sz w:val="20"/>
                <w:szCs w:val="20"/>
              </w:rPr>
              <w:t>implementation</w:t>
            </w:r>
            <w:r w:rsidR="008945F5" w:rsidRPr="006B7572">
              <w:rPr>
                <w:rFonts w:ascii="Arial" w:hAnsi="Arial" w:cs="Arial"/>
                <w:bCs/>
                <w:iCs/>
                <w:sz w:val="20"/>
                <w:szCs w:val="20"/>
              </w:rPr>
              <w:t xml:space="preserve"> arrang</w:t>
            </w:r>
            <w:r w:rsidR="00E16725" w:rsidRPr="006B7572">
              <w:rPr>
                <w:rFonts w:ascii="Arial" w:hAnsi="Arial" w:cs="Arial"/>
                <w:bCs/>
                <w:iCs/>
                <w:sz w:val="20"/>
                <w:szCs w:val="20"/>
              </w:rPr>
              <w:t>ements and foreseen risks for</w:t>
            </w:r>
            <w:r w:rsidRPr="006B7572">
              <w:rPr>
                <w:rFonts w:ascii="Arial" w:hAnsi="Arial" w:cs="Arial"/>
                <w:bCs/>
                <w:iCs/>
                <w:sz w:val="20"/>
                <w:szCs w:val="20"/>
              </w:rPr>
              <w:t xml:space="preserve"> the </w:t>
            </w:r>
            <w:r w:rsidR="00E16725" w:rsidRPr="006B7572">
              <w:rPr>
                <w:rFonts w:ascii="Arial" w:hAnsi="Arial" w:cs="Arial"/>
                <w:bCs/>
                <w:iCs/>
                <w:sz w:val="20"/>
                <w:szCs w:val="20"/>
              </w:rPr>
              <w:t>proposed program(s)</w:t>
            </w:r>
            <w:r w:rsidRPr="006B7572">
              <w:rPr>
                <w:rFonts w:ascii="Arial" w:hAnsi="Arial" w:cs="Arial"/>
                <w:bCs/>
                <w:iCs/>
                <w:sz w:val="20"/>
                <w:szCs w:val="20"/>
              </w:rPr>
              <w:t xml:space="preserve">. </w:t>
            </w:r>
            <w:r w:rsidR="006C0AFC" w:rsidRPr="006B7572">
              <w:rPr>
                <w:rFonts w:ascii="Arial" w:hAnsi="Arial" w:cs="Arial"/>
                <w:bCs/>
                <w:iCs/>
                <w:sz w:val="20"/>
                <w:szCs w:val="20"/>
              </w:rPr>
              <w:t xml:space="preserve">Applicants are encouraged to </w:t>
            </w:r>
            <w:r w:rsidR="006C0AFC" w:rsidRPr="006B7572">
              <w:rPr>
                <w:rFonts w:ascii="Arial" w:hAnsi="Arial" w:cs="Arial"/>
                <w:b/>
                <w:bCs/>
                <w:iCs/>
                <w:sz w:val="20"/>
                <w:szCs w:val="20"/>
              </w:rPr>
              <w:t>a</w:t>
            </w:r>
            <w:r w:rsidR="0020041F" w:rsidRPr="006B7572">
              <w:rPr>
                <w:rFonts w:ascii="Arial" w:hAnsi="Arial" w:cs="Arial"/>
                <w:b/>
                <w:bCs/>
                <w:iCs/>
                <w:sz w:val="20"/>
                <w:szCs w:val="20"/>
              </w:rPr>
              <w:t>ttach</w:t>
            </w:r>
            <w:r w:rsidR="005A62F6" w:rsidRPr="006B7572">
              <w:rPr>
                <w:rFonts w:ascii="Arial" w:eastAsia="Calibri" w:hAnsi="Arial" w:cs="Arial"/>
                <w:b/>
                <w:bCs/>
                <w:iCs/>
                <w:sz w:val="20"/>
                <w:szCs w:val="20"/>
                <w:lang w:val="en-US"/>
              </w:rPr>
              <w:t xml:space="preserve"> an </w:t>
            </w:r>
            <w:r w:rsidR="006C0AFC" w:rsidRPr="006B7572">
              <w:rPr>
                <w:rFonts w:ascii="Arial" w:eastAsia="Calibri" w:hAnsi="Arial" w:cs="Arial"/>
                <w:b/>
                <w:bCs/>
                <w:iCs/>
                <w:sz w:val="20"/>
                <w:szCs w:val="20"/>
                <w:lang w:val="en-US"/>
              </w:rPr>
              <w:t xml:space="preserve">updated </w:t>
            </w:r>
            <w:r w:rsidR="005A62F6" w:rsidRPr="006B7572">
              <w:rPr>
                <w:rFonts w:ascii="Arial" w:eastAsia="Calibri" w:hAnsi="Arial" w:cs="Arial"/>
                <w:b/>
                <w:bCs/>
                <w:iCs/>
                <w:sz w:val="20"/>
                <w:szCs w:val="20"/>
                <w:lang w:val="en-US"/>
              </w:rPr>
              <w:t xml:space="preserve">Implementation Arrangements </w:t>
            </w:r>
            <w:r w:rsidR="00C77493" w:rsidRPr="006B7572">
              <w:rPr>
                <w:rFonts w:ascii="Arial" w:eastAsia="Calibri" w:hAnsi="Arial" w:cs="Arial"/>
                <w:b/>
                <w:bCs/>
                <w:iCs/>
                <w:sz w:val="20"/>
                <w:szCs w:val="20"/>
                <w:lang w:val="en-US"/>
              </w:rPr>
              <w:t>Map</w:t>
            </w:r>
            <w:r w:rsidR="005A62F6" w:rsidRPr="006B7572">
              <w:rPr>
                <w:rFonts w:ascii="Arial" w:eastAsia="Calibri" w:hAnsi="Arial" w:cs="Arial"/>
                <w:b/>
                <w:bCs/>
                <w:iCs/>
                <w:sz w:val="20"/>
                <w:szCs w:val="20"/>
                <w:lang w:val="en-US"/>
              </w:rPr>
              <w:t>.</w:t>
            </w:r>
            <w:r w:rsidR="00972638" w:rsidRPr="006B7572">
              <w:rPr>
                <w:rFonts w:ascii="Arial" w:eastAsia="Calibri" w:hAnsi="Arial" w:cs="Arial"/>
                <w:bCs/>
                <w:iCs/>
                <w:sz w:val="20"/>
                <w:szCs w:val="20"/>
                <w:lang w:val="en-US"/>
              </w:rPr>
              <w:t>To respond, r</w:t>
            </w:r>
            <w:r w:rsidR="005A62F6" w:rsidRPr="006B7572">
              <w:rPr>
                <w:rFonts w:ascii="Arial" w:eastAsia="Calibri" w:hAnsi="Arial" w:cs="Arial"/>
                <w:bCs/>
                <w:iCs/>
                <w:sz w:val="20"/>
                <w:szCs w:val="20"/>
                <w:lang w:val="en-US"/>
              </w:rPr>
              <w:t>efer to</w:t>
            </w:r>
            <w:r w:rsidR="006E048B" w:rsidRPr="006B7572">
              <w:rPr>
                <w:rFonts w:ascii="Arial" w:eastAsia="Calibri" w:hAnsi="Arial" w:cs="Arial"/>
                <w:sz w:val="20"/>
                <w:szCs w:val="20"/>
                <w:lang w:val="en-US"/>
              </w:rPr>
              <w:t>additional</w:t>
            </w:r>
            <w:r w:rsidR="005265DB" w:rsidRPr="006B7572">
              <w:rPr>
                <w:rFonts w:ascii="Arial" w:eastAsia="Calibri" w:hAnsi="Arial" w:cs="Arial"/>
                <w:bCs/>
                <w:iCs/>
                <w:sz w:val="20"/>
                <w:szCs w:val="20"/>
                <w:lang w:val="en-US"/>
              </w:rPr>
              <w:t xml:space="preserve">guidance </w:t>
            </w:r>
            <w:r w:rsidR="00B72573" w:rsidRPr="006B7572">
              <w:rPr>
                <w:rFonts w:ascii="Arial" w:eastAsia="Calibri" w:hAnsi="Arial" w:cs="Arial"/>
                <w:bCs/>
                <w:iCs/>
                <w:sz w:val="20"/>
                <w:szCs w:val="20"/>
                <w:lang w:val="en-US"/>
              </w:rPr>
              <w:t xml:space="preserve">provided </w:t>
            </w:r>
            <w:r w:rsidR="005265DB" w:rsidRPr="006B7572">
              <w:rPr>
                <w:rFonts w:ascii="Arial" w:eastAsia="Calibri" w:hAnsi="Arial" w:cs="Arial"/>
                <w:bCs/>
                <w:iCs/>
                <w:sz w:val="20"/>
                <w:szCs w:val="20"/>
                <w:lang w:val="en-US"/>
              </w:rPr>
              <w:t xml:space="preserve">in the </w:t>
            </w:r>
            <w:r w:rsidR="00B7710C" w:rsidRPr="006B7572">
              <w:rPr>
                <w:rFonts w:ascii="Arial" w:hAnsi="Arial" w:cs="Arial"/>
                <w:bCs/>
                <w:i/>
                <w:iCs/>
                <w:sz w:val="20"/>
                <w:szCs w:val="20"/>
              </w:rPr>
              <w:t>Instructions</w:t>
            </w:r>
            <w:r w:rsidR="00485F5B">
              <w:rPr>
                <w:rFonts w:ascii="Arial" w:hAnsi="Arial" w:cs="Arial"/>
                <w:bCs/>
                <w:i/>
                <w:iCs/>
                <w:sz w:val="20"/>
                <w:szCs w:val="20"/>
              </w:rPr>
              <w:t>.</w:t>
            </w:r>
          </w:p>
        </w:tc>
      </w:tr>
    </w:tbl>
    <w:p w:rsidR="005A62F6" w:rsidRPr="006B7572" w:rsidRDefault="005A62F6" w:rsidP="00827D9E">
      <w:pPr>
        <w:spacing w:after="0"/>
        <w:rPr>
          <w:rFonts w:ascii="Arial" w:hAnsi="Arial" w:cs="Arial"/>
          <w:sz w:val="20"/>
          <w:szCs w:val="20"/>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7264"/>
        <w:gridCol w:w="1815"/>
      </w:tblGrid>
      <w:tr w:rsidR="005A62F6" w:rsidRPr="006B7572" w:rsidTr="008547FF">
        <w:trPr>
          <w:trHeight w:val="274"/>
          <w:jc w:val="center"/>
        </w:trPr>
        <w:tc>
          <w:tcPr>
            <w:tcW w:w="9079" w:type="dxa"/>
            <w:gridSpan w:val="2"/>
            <w:shd w:val="clear" w:color="auto" w:fill="C6D9F1"/>
          </w:tcPr>
          <w:p w:rsidR="005A62F6" w:rsidRPr="006B7572" w:rsidRDefault="005A62F6" w:rsidP="005A62F6">
            <w:pPr>
              <w:spacing w:before="120" w:after="120" w:line="240" w:lineRule="auto"/>
              <w:jc w:val="both"/>
              <w:rPr>
                <w:rFonts w:ascii="Arial" w:eastAsia="Calibri" w:hAnsi="Arial" w:cs="Arial"/>
                <w:b/>
                <w:bCs/>
                <w:sz w:val="20"/>
                <w:szCs w:val="20"/>
                <w:lang w:val="en-US"/>
              </w:rPr>
            </w:pPr>
            <w:r w:rsidRPr="006B7572">
              <w:rPr>
                <w:rFonts w:ascii="Arial" w:eastAsia="Calibri" w:hAnsi="Arial" w:cs="Arial"/>
                <w:b/>
                <w:bCs/>
                <w:sz w:val="20"/>
                <w:szCs w:val="20"/>
                <w:lang w:val="en-US"/>
              </w:rPr>
              <w:t>3.1 Implementation arrangements summary</w:t>
            </w:r>
          </w:p>
        </w:tc>
      </w:tr>
      <w:tr w:rsidR="005A62F6" w:rsidRPr="006B7572" w:rsidTr="008547FF">
        <w:trPr>
          <w:trHeight w:val="274"/>
          <w:jc w:val="center"/>
        </w:trPr>
        <w:tc>
          <w:tcPr>
            <w:tcW w:w="7264" w:type="dxa"/>
            <w:tcBorders>
              <w:bottom w:val="nil"/>
            </w:tcBorders>
            <w:shd w:val="clear" w:color="auto" w:fill="F2F2F2" w:themeFill="background1" w:themeFillShade="F2"/>
          </w:tcPr>
          <w:p w:rsidR="005A62F6" w:rsidRPr="006B7572" w:rsidRDefault="005A62F6" w:rsidP="00B72573">
            <w:pPr>
              <w:spacing w:before="120" w:after="120" w:line="240" w:lineRule="auto"/>
              <w:rPr>
                <w:rFonts w:ascii="Arial" w:eastAsia="Calibri" w:hAnsi="Arial" w:cs="Arial"/>
                <w:bCs/>
                <w:sz w:val="20"/>
                <w:szCs w:val="20"/>
                <w:lang w:val="en-US"/>
              </w:rPr>
            </w:pPr>
            <w:r w:rsidRPr="006B7572">
              <w:rPr>
                <w:rFonts w:ascii="Arial" w:eastAsia="Calibri" w:hAnsi="Arial" w:cs="Arial"/>
                <w:bCs/>
                <w:sz w:val="20"/>
                <w:szCs w:val="20"/>
                <w:lang w:val="en-US"/>
              </w:rPr>
              <w:t>Do you propose major changes from past implementation arrange</w:t>
            </w:r>
            <w:r w:rsidR="00A02D0B" w:rsidRPr="006B7572">
              <w:rPr>
                <w:rFonts w:ascii="Arial" w:eastAsia="Calibri" w:hAnsi="Arial" w:cs="Arial"/>
                <w:bCs/>
                <w:sz w:val="20"/>
                <w:szCs w:val="20"/>
                <w:lang w:val="en-US"/>
              </w:rPr>
              <w:t xml:space="preserve">ments, e.g. in key implementers, </w:t>
            </w:r>
            <w:r w:rsidRPr="006B7572">
              <w:rPr>
                <w:rFonts w:ascii="Arial" w:eastAsia="Calibri" w:hAnsi="Arial" w:cs="Arial"/>
                <w:bCs/>
                <w:sz w:val="20"/>
                <w:szCs w:val="20"/>
                <w:lang w:val="en-US"/>
              </w:rPr>
              <w:t>flow of funds or commodities?</w:t>
            </w:r>
          </w:p>
        </w:tc>
        <w:tc>
          <w:tcPr>
            <w:tcW w:w="1815" w:type="dxa"/>
            <w:shd w:val="clear" w:color="auto" w:fill="FFFFFF"/>
          </w:tcPr>
          <w:p w:rsidR="005A62F6" w:rsidRPr="006B7572" w:rsidRDefault="00817B52" w:rsidP="005A62F6">
            <w:pPr>
              <w:spacing w:before="120" w:after="120" w:line="240" w:lineRule="auto"/>
              <w:jc w:val="both"/>
              <w:rPr>
                <w:rFonts w:ascii="Arial" w:eastAsia="Calibri" w:hAnsi="Arial" w:cs="Arial"/>
                <w:b/>
                <w:bCs/>
                <w:sz w:val="20"/>
                <w:szCs w:val="20"/>
                <w:lang w:val="en-US"/>
              </w:rPr>
            </w:pPr>
            <w:sdt>
              <w:sdtPr>
                <w:rPr>
                  <w:rFonts w:ascii="Arial" w:eastAsia="Calibri" w:hAnsi="Arial" w:cs="Arial"/>
                  <w:bCs/>
                  <w:iCs/>
                  <w:color w:val="BFBFBF" w:themeColor="background1" w:themeShade="BF"/>
                  <w:sz w:val="20"/>
                  <w:szCs w:val="20"/>
                  <w:lang w:val="en-US"/>
                </w:rPr>
                <w:id w:val="-2008894418"/>
              </w:sdtPr>
              <w:sdtContent>
                <w:r w:rsidR="007B0904">
                  <w:rPr>
                    <w:rFonts w:ascii="MS Gothic" w:eastAsia="MS Gothic" w:hAnsi="MS Gothic" w:cs="Arial" w:hint="eastAsia"/>
                    <w:bCs/>
                    <w:iCs/>
                    <w:color w:val="BFBFBF" w:themeColor="background1" w:themeShade="BF"/>
                    <w:sz w:val="20"/>
                    <w:szCs w:val="20"/>
                    <w:lang w:val="en-US"/>
                  </w:rPr>
                  <w:t>☐</w:t>
                </w:r>
              </w:sdtContent>
            </w:sdt>
            <w:r w:rsidR="005A62F6" w:rsidRPr="00050B8A">
              <w:rPr>
                <w:rFonts w:ascii="Arial" w:eastAsia="Calibri" w:hAnsi="Arial" w:cs="Arial"/>
                <w:bCs/>
                <w:iCs/>
                <w:color w:val="BFBFBF" w:themeColor="background1" w:themeShade="BF"/>
                <w:sz w:val="20"/>
                <w:szCs w:val="20"/>
                <w:lang w:val="en-US"/>
              </w:rPr>
              <w:t xml:space="preserve"> Yes </w:t>
            </w:r>
            <w:sdt>
              <w:sdtPr>
                <w:rPr>
                  <w:rFonts w:ascii="Arial" w:eastAsia="Calibri" w:hAnsi="Arial" w:cs="Arial"/>
                  <w:b/>
                  <w:bCs/>
                  <w:iCs/>
                  <w:sz w:val="20"/>
                  <w:szCs w:val="20"/>
                  <w:lang w:val="en-US"/>
                </w:rPr>
                <w:id w:val="-1284489466"/>
              </w:sdtPr>
              <w:sdtContent>
                <w:r w:rsidR="005A62F6" w:rsidRPr="00C932D1">
                  <w:rPr>
                    <w:rFonts w:ascii="Segoe UI Symbol" w:eastAsia="MS Gothic" w:hAnsi="Segoe UI Symbol" w:cs="Segoe UI Symbol"/>
                    <w:b/>
                    <w:bCs/>
                    <w:iCs/>
                    <w:sz w:val="20"/>
                    <w:szCs w:val="20"/>
                    <w:lang w:val="en-US"/>
                  </w:rPr>
                  <w:t>☐</w:t>
                </w:r>
              </w:sdtContent>
            </w:sdt>
            <w:r w:rsidR="005A62F6" w:rsidRPr="00C932D1">
              <w:rPr>
                <w:rFonts w:ascii="Arial" w:eastAsia="Calibri" w:hAnsi="Arial" w:cs="Arial"/>
                <w:b/>
                <w:bCs/>
                <w:iCs/>
                <w:sz w:val="20"/>
                <w:szCs w:val="20"/>
                <w:lang w:val="en-US"/>
              </w:rPr>
              <w:t xml:space="preserve"> No</w:t>
            </w:r>
          </w:p>
        </w:tc>
      </w:tr>
      <w:tr w:rsidR="005A62F6" w:rsidRPr="006B7572" w:rsidTr="008547FF">
        <w:trPr>
          <w:trHeight w:val="274"/>
          <w:jc w:val="center"/>
        </w:trPr>
        <w:tc>
          <w:tcPr>
            <w:tcW w:w="9079" w:type="dxa"/>
            <w:gridSpan w:val="2"/>
            <w:shd w:val="clear" w:color="auto" w:fill="F2F2F2" w:themeFill="background1" w:themeFillShade="F2"/>
            <w:vAlign w:val="center"/>
          </w:tcPr>
          <w:p w:rsidR="00684013" w:rsidRPr="00096485" w:rsidRDefault="001F2969" w:rsidP="00684013">
            <w:pPr>
              <w:spacing w:before="120" w:after="120" w:line="240" w:lineRule="auto"/>
              <w:jc w:val="both"/>
              <w:rPr>
                <w:rFonts w:ascii="Arial" w:eastAsia="Calibri" w:hAnsi="Arial" w:cs="Arial"/>
                <w:color w:val="BFBFBF" w:themeColor="background1" w:themeShade="BF"/>
                <w:sz w:val="20"/>
                <w:szCs w:val="20"/>
                <w:lang w:val="en-US"/>
              </w:rPr>
            </w:pPr>
            <w:r w:rsidRPr="00096485">
              <w:rPr>
                <w:rFonts w:ascii="Arial" w:eastAsia="Calibri" w:hAnsi="Arial" w:cs="Arial"/>
                <w:color w:val="BFBFBF" w:themeColor="background1" w:themeShade="BF"/>
                <w:sz w:val="20"/>
                <w:szCs w:val="20"/>
                <w:lang w:val="en-US"/>
              </w:rPr>
              <w:t xml:space="preserve">If </w:t>
            </w:r>
            <w:r w:rsidRPr="00096485">
              <w:rPr>
                <w:rFonts w:ascii="Arial" w:eastAsia="Calibri" w:hAnsi="Arial" w:cs="Arial"/>
                <w:b/>
                <w:color w:val="BFBFBF" w:themeColor="background1" w:themeShade="BF"/>
                <w:sz w:val="20"/>
                <w:szCs w:val="20"/>
                <w:lang w:val="en-US"/>
              </w:rPr>
              <w:t>yes</w:t>
            </w:r>
            <w:r w:rsidRPr="00096485">
              <w:rPr>
                <w:rFonts w:ascii="Arial" w:eastAsia="Calibri" w:hAnsi="Arial" w:cs="Arial"/>
                <w:color w:val="BFBFBF" w:themeColor="background1" w:themeShade="BF"/>
                <w:sz w:val="20"/>
                <w:szCs w:val="20"/>
                <w:lang w:val="en-US"/>
              </w:rPr>
              <w:t>, provide an overview of</w:t>
            </w:r>
            <w:r w:rsidR="009001EF" w:rsidRPr="00096485">
              <w:rPr>
                <w:rFonts w:ascii="Arial" w:eastAsia="Calibri" w:hAnsi="Arial" w:cs="Arial"/>
                <w:color w:val="BFBFBF" w:themeColor="background1" w:themeShade="BF"/>
                <w:sz w:val="20"/>
                <w:szCs w:val="20"/>
                <w:lang w:val="en-US"/>
              </w:rPr>
              <w:t xml:space="preserve"> the new</w:t>
            </w:r>
            <w:r w:rsidRPr="00096485">
              <w:rPr>
                <w:rFonts w:ascii="Arial" w:eastAsia="Calibri" w:hAnsi="Arial" w:cs="Arial"/>
                <w:color w:val="BFBFBF" w:themeColor="background1" w:themeShade="BF"/>
                <w:sz w:val="20"/>
                <w:szCs w:val="20"/>
                <w:lang w:val="en-US"/>
              </w:rPr>
              <w:t xml:space="preserve"> implementation arrangements </w:t>
            </w:r>
            <w:r w:rsidR="009001EF" w:rsidRPr="00096485">
              <w:rPr>
                <w:rFonts w:ascii="Arial" w:eastAsia="Calibri" w:hAnsi="Arial" w:cs="Arial"/>
                <w:color w:val="BFBFBF" w:themeColor="background1" w:themeShade="BF"/>
                <w:sz w:val="20"/>
                <w:szCs w:val="20"/>
                <w:lang w:val="en-US"/>
              </w:rPr>
              <w:t>and elaborate how these changes affect the operationalization of</w:t>
            </w:r>
            <w:r w:rsidRPr="00096485">
              <w:rPr>
                <w:rFonts w:ascii="Arial" w:eastAsia="Calibri" w:hAnsi="Arial" w:cs="Arial"/>
                <w:color w:val="BFBFBF" w:themeColor="background1" w:themeShade="BF"/>
                <w:sz w:val="20"/>
                <w:szCs w:val="20"/>
                <w:lang w:val="en-US"/>
              </w:rPr>
              <w:t xml:space="preserve"> the grant</w:t>
            </w:r>
            <w:r w:rsidR="009001EF" w:rsidRPr="00096485">
              <w:rPr>
                <w:rFonts w:ascii="Arial" w:eastAsia="Calibri" w:hAnsi="Arial" w:cs="Arial"/>
                <w:color w:val="BFBFBF" w:themeColor="background1" w:themeShade="BF"/>
                <w:sz w:val="20"/>
                <w:szCs w:val="20"/>
                <w:lang w:val="en-US"/>
              </w:rPr>
              <w:t>.</w:t>
            </w:r>
          </w:p>
          <w:p w:rsidR="001F2969" w:rsidRPr="006B7572" w:rsidRDefault="001F2969" w:rsidP="00684013">
            <w:pPr>
              <w:spacing w:before="120" w:after="120" w:line="240" w:lineRule="auto"/>
              <w:jc w:val="both"/>
              <w:rPr>
                <w:rFonts w:ascii="Arial" w:eastAsia="Calibri" w:hAnsi="Arial" w:cs="Arial"/>
                <w:sz w:val="20"/>
                <w:szCs w:val="20"/>
                <w:lang w:val="en-US"/>
              </w:rPr>
            </w:pPr>
            <w:r w:rsidRPr="006B59C9">
              <w:rPr>
                <w:rFonts w:ascii="Arial" w:eastAsia="Calibri" w:hAnsi="Arial" w:cs="Arial"/>
                <w:color w:val="BFBFBF" w:themeColor="background1" w:themeShade="BF"/>
                <w:sz w:val="20"/>
                <w:szCs w:val="20"/>
                <w:lang w:val="en-US"/>
              </w:rPr>
              <w:t xml:space="preserve">If </w:t>
            </w:r>
            <w:r w:rsidRPr="006B59C9">
              <w:rPr>
                <w:rFonts w:ascii="Arial" w:eastAsia="Calibri" w:hAnsi="Arial" w:cs="Arial"/>
                <w:b/>
                <w:color w:val="BFBFBF" w:themeColor="background1" w:themeShade="BF"/>
                <w:sz w:val="20"/>
                <w:szCs w:val="20"/>
                <w:lang w:val="en-US"/>
              </w:rPr>
              <w:t>no</w:t>
            </w:r>
            <w:r w:rsidRPr="006B59C9">
              <w:rPr>
                <w:rFonts w:ascii="Arial" w:eastAsia="Calibri" w:hAnsi="Arial" w:cs="Arial"/>
                <w:color w:val="BFBFBF" w:themeColor="background1" w:themeShade="BF"/>
                <w:sz w:val="20"/>
                <w:szCs w:val="20"/>
                <w:lang w:val="en-US"/>
              </w:rPr>
              <w:t>,</w:t>
            </w:r>
            <w:r w:rsidRPr="006B7572">
              <w:rPr>
                <w:rFonts w:ascii="Arial" w:eastAsia="Calibri" w:hAnsi="Arial" w:cs="Arial"/>
                <w:sz w:val="20"/>
                <w:szCs w:val="20"/>
                <w:lang w:val="en-US"/>
              </w:rPr>
              <w:t xml:space="preserve"> provide a summary of high-level implementation arrangements f</w:t>
            </w:r>
            <w:r w:rsidR="00A44778" w:rsidRPr="006B7572">
              <w:rPr>
                <w:rFonts w:ascii="Arial" w:eastAsia="Calibri" w:hAnsi="Arial" w:cs="Arial"/>
                <w:sz w:val="20"/>
                <w:szCs w:val="20"/>
                <w:lang w:val="en-US"/>
              </w:rPr>
              <w:t>ocusing only on lessons learned</w:t>
            </w:r>
            <w:r w:rsidRPr="006B7572">
              <w:rPr>
                <w:rFonts w:ascii="Arial" w:eastAsia="Calibri" w:hAnsi="Arial" w:cs="Arial"/>
                <w:sz w:val="20"/>
                <w:szCs w:val="20"/>
                <w:lang w:val="en-US"/>
              </w:rPr>
              <w:t xml:space="preserve">for the next period.  </w:t>
            </w:r>
          </w:p>
          <w:p w:rsidR="00684013" w:rsidRPr="006B7572" w:rsidRDefault="001F2969" w:rsidP="00684013">
            <w:pPr>
              <w:spacing w:before="120" w:after="120" w:line="240" w:lineRule="auto"/>
              <w:jc w:val="both"/>
              <w:rPr>
                <w:rFonts w:ascii="Arial" w:eastAsia="Calibri" w:hAnsi="Arial" w:cs="Arial"/>
                <w:sz w:val="20"/>
                <w:szCs w:val="20"/>
                <w:lang w:val="en-US"/>
              </w:rPr>
            </w:pPr>
            <w:r w:rsidRPr="006B59C9">
              <w:rPr>
                <w:rFonts w:ascii="Arial" w:eastAsia="Calibri" w:hAnsi="Arial" w:cs="Arial"/>
                <w:color w:val="BFBFBF" w:themeColor="background1" w:themeShade="BF"/>
                <w:sz w:val="20"/>
                <w:szCs w:val="20"/>
                <w:lang w:val="en-US"/>
              </w:rPr>
              <w:t xml:space="preserve">In </w:t>
            </w:r>
            <w:r w:rsidRPr="006B59C9">
              <w:rPr>
                <w:rFonts w:ascii="Arial" w:eastAsia="Calibri" w:hAnsi="Arial" w:cs="Arial"/>
                <w:b/>
                <w:color w:val="BFBFBF" w:themeColor="background1" w:themeShade="BF"/>
                <w:sz w:val="20"/>
                <w:szCs w:val="20"/>
                <w:lang w:val="en-US"/>
              </w:rPr>
              <w:t>both cases</w:t>
            </w:r>
            <w:r w:rsidRPr="006B59C9">
              <w:rPr>
                <w:rFonts w:ascii="Arial" w:eastAsia="Calibri" w:hAnsi="Arial" w:cs="Arial"/>
                <w:color w:val="BFBFBF" w:themeColor="background1" w:themeShade="BF"/>
                <w:sz w:val="20"/>
                <w:szCs w:val="20"/>
                <w:lang w:val="en-US"/>
              </w:rPr>
              <w:t>,</w:t>
            </w:r>
            <w:r w:rsidRPr="006B7572">
              <w:rPr>
                <w:rFonts w:ascii="Arial" w:eastAsia="Calibri" w:hAnsi="Arial" w:cs="Arial"/>
                <w:sz w:val="20"/>
                <w:szCs w:val="20"/>
                <w:lang w:val="en-US"/>
              </w:rPr>
              <w:t xml:space="preserve"> detail how representatives of women's organizations, key populations and people living with the disease(s)</w:t>
            </w:r>
            <w:r w:rsidR="009D2167" w:rsidRPr="006B7572">
              <w:rPr>
                <w:rFonts w:ascii="Arial" w:eastAsia="Calibri" w:hAnsi="Arial" w:cs="Arial"/>
                <w:sz w:val="20"/>
                <w:szCs w:val="20"/>
                <w:lang w:val="en-US"/>
              </w:rPr>
              <w:t>,</w:t>
            </w:r>
            <w:r w:rsidRPr="006B7572">
              <w:rPr>
                <w:rFonts w:ascii="Arial" w:eastAsia="Calibri" w:hAnsi="Arial" w:cs="Arial"/>
                <w:sz w:val="20"/>
                <w:szCs w:val="20"/>
                <w:lang w:val="en-US"/>
              </w:rPr>
              <w:t xml:space="preserve"> as applicable</w:t>
            </w:r>
            <w:r w:rsidR="009D2167" w:rsidRPr="006B7572">
              <w:rPr>
                <w:rFonts w:ascii="Arial" w:eastAsia="Calibri" w:hAnsi="Arial" w:cs="Arial"/>
                <w:sz w:val="20"/>
                <w:szCs w:val="20"/>
                <w:lang w:val="en-US"/>
              </w:rPr>
              <w:t>,</w:t>
            </w:r>
            <w:r w:rsidRPr="006B7572">
              <w:rPr>
                <w:rFonts w:ascii="Arial" w:eastAsia="Calibri" w:hAnsi="Arial" w:cs="Arial"/>
                <w:sz w:val="20"/>
                <w:szCs w:val="20"/>
                <w:lang w:val="en-US"/>
              </w:rPr>
              <w:t xml:space="preserve"> will actively participate in the implemen</w:t>
            </w:r>
            <w:r w:rsidR="00684013" w:rsidRPr="006B7572">
              <w:rPr>
                <w:rFonts w:ascii="Arial" w:eastAsia="Calibri" w:hAnsi="Arial" w:cs="Arial"/>
                <w:sz w:val="20"/>
                <w:szCs w:val="20"/>
                <w:lang w:val="en-US"/>
              </w:rPr>
              <w:t>tation.</w:t>
            </w:r>
          </w:p>
          <w:p w:rsidR="00B72573" w:rsidRPr="006B7572" w:rsidRDefault="001F2969" w:rsidP="00684013">
            <w:pPr>
              <w:spacing w:before="120" w:after="120" w:line="240" w:lineRule="auto"/>
              <w:jc w:val="both"/>
              <w:rPr>
                <w:rFonts w:ascii="Arial" w:eastAsia="Calibri" w:hAnsi="Arial" w:cs="Arial"/>
                <w:sz w:val="20"/>
                <w:szCs w:val="20"/>
                <w:lang w:val="en-US"/>
              </w:rPr>
            </w:pPr>
            <w:r w:rsidRPr="006B7572">
              <w:rPr>
                <w:rFonts w:ascii="Arial" w:eastAsia="Calibri" w:hAnsi="Arial" w:cs="Arial"/>
                <w:sz w:val="20"/>
                <w:szCs w:val="20"/>
                <w:lang w:val="en-US"/>
              </w:rPr>
              <w:t>Include a description of procurem</w:t>
            </w:r>
            <w:r w:rsidR="00684013" w:rsidRPr="006B7572">
              <w:rPr>
                <w:rFonts w:ascii="Arial" w:eastAsia="Calibri" w:hAnsi="Arial" w:cs="Arial"/>
                <w:sz w:val="20"/>
                <w:szCs w:val="20"/>
                <w:lang w:val="en-US"/>
              </w:rPr>
              <w:t>ent mechanisms</w:t>
            </w:r>
            <w:r w:rsidR="00B72573" w:rsidRPr="006B7572">
              <w:rPr>
                <w:rFonts w:ascii="Arial" w:eastAsia="Calibri" w:hAnsi="Arial" w:cs="Arial"/>
                <w:sz w:val="20"/>
                <w:szCs w:val="20"/>
                <w:lang w:val="en-US"/>
              </w:rPr>
              <w:t>.</w:t>
            </w:r>
          </w:p>
          <w:p w:rsidR="00B72573" w:rsidRPr="006B7572" w:rsidRDefault="001631BD" w:rsidP="00684013">
            <w:pPr>
              <w:spacing w:before="120" w:after="120" w:line="240" w:lineRule="auto"/>
              <w:jc w:val="both"/>
              <w:rPr>
                <w:rFonts w:ascii="Arial" w:eastAsia="Calibri" w:hAnsi="Arial" w:cs="Arial"/>
                <w:b/>
                <w:sz w:val="20"/>
                <w:szCs w:val="20"/>
                <w:lang w:val="en-US"/>
              </w:rPr>
            </w:pPr>
            <w:r w:rsidRPr="006B7572">
              <w:rPr>
                <w:rFonts w:ascii="Arial" w:eastAsia="Calibri" w:hAnsi="Arial" w:cs="Arial"/>
                <w:b/>
                <w:sz w:val="20"/>
                <w:szCs w:val="20"/>
                <w:lang w:val="en-US"/>
              </w:rPr>
              <w:t>(maximum</w:t>
            </w:r>
            <w:r w:rsidR="00B72573" w:rsidRPr="006B7572">
              <w:rPr>
                <w:rFonts w:ascii="Arial" w:eastAsia="Calibri" w:hAnsi="Arial" w:cs="Arial"/>
                <w:b/>
                <w:sz w:val="20"/>
                <w:szCs w:val="20"/>
                <w:lang w:val="en-US"/>
              </w:rPr>
              <w:t xml:space="preserve"> 1 page)</w:t>
            </w:r>
          </w:p>
        </w:tc>
      </w:tr>
    </w:tbl>
    <w:p w:rsidR="005A62F6" w:rsidRPr="001361C6" w:rsidRDefault="002D19E8" w:rsidP="001361C6">
      <w:pPr>
        <w:spacing w:after="120" w:line="240" w:lineRule="auto"/>
        <w:rPr>
          <w:rFonts w:ascii="Arial" w:hAnsi="Arial" w:cs="Arial"/>
          <w:sz w:val="20"/>
          <w:szCs w:val="20"/>
        </w:rPr>
      </w:pPr>
      <w:r w:rsidRPr="001361C6">
        <w:rPr>
          <w:rFonts w:ascii="Arial" w:hAnsi="Arial" w:cs="Arial"/>
          <w:sz w:val="20"/>
          <w:szCs w:val="20"/>
        </w:rPr>
        <w:t>[</w:t>
      </w:r>
      <w:r w:rsidR="005A62F6" w:rsidRPr="001361C6">
        <w:rPr>
          <w:rFonts w:ascii="Arial" w:hAnsi="Arial" w:cs="Arial"/>
          <w:i/>
          <w:sz w:val="20"/>
          <w:szCs w:val="20"/>
        </w:rPr>
        <w:t>Applicant response</w:t>
      </w:r>
      <w:r w:rsidRPr="001361C6">
        <w:rPr>
          <w:rFonts w:ascii="Arial" w:hAnsi="Arial" w:cs="Arial"/>
          <w:sz w:val="20"/>
          <w:szCs w:val="20"/>
        </w:rPr>
        <w:t>]</w:t>
      </w:r>
      <w:r w:rsidR="005A62F6" w:rsidRPr="001361C6">
        <w:rPr>
          <w:rFonts w:ascii="Arial" w:hAnsi="Arial" w:cs="Arial"/>
          <w:sz w:val="20"/>
          <w:szCs w:val="20"/>
        </w:rPr>
        <w:t>:</w:t>
      </w:r>
    </w:p>
    <w:p w:rsidR="001361C6" w:rsidRDefault="001361C6" w:rsidP="001361C6">
      <w:pPr>
        <w:spacing w:after="120" w:line="240" w:lineRule="auto"/>
        <w:rPr>
          <w:rFonts w:ascii="Arial" w:eastAsia="Times New Roman" w:hAnsi="Arial" w:cs="Arial"/>
          <w:sz w:val="20"/>
          <w:szCs w:val="20"/>
        </w:rPr>
      </w:pPr>
      <w:r>
        <w:rPr>
          <w:rFonts w:ascii="Arial" w:hAnsi="Arial" w:cs="Arial"/>
          <w:sz w:val="20"/>
          <w:szCs w:val="20"/>
        </w:rPr>
        <w:t xml:space="preserve">Bangladesh has adopted a dual-track financing arrangement. </w:t>
      </w:r>
      <w:r w:rsidR="00B91298" w:rsidRPr="001361C6">
        <w:rPr>
          <w:rFonts w:ascii="Arial" w:hAnsi="Arial" w:cs="Arial"/>
          <w:sz w:val="20"/>
          <w:szCs w:val="20"/>
        </w:rPr>
        <w:t xml:space="preserve">As with the current grant, </w:t>
      </w:r>
      <w:r>
        <w:rPr>
          <w:rFonts w:ascii="Arial" w:hAnsi="Arial" w:cs="Arial"/>
          <w:sz w:val="20"/>
          <w:szCs w:val="20"/>
        </w:rPr>
        <w:t xml:space="preserve">the first </w:t>
      </w:r>
      <w:r w:rsidR="00B91298" w:rsidRPr="001361C6">
        <w:rPr>
          <w:rFonts w:ascii="Arial" w:eastAsia="Times New Roman" w:hAnsi="Arial" w:cs="Arial"/>
          <w:i/>
          <w:sz w:val="20"/>
          <w:szCs w:val="20"/>
        </w:rPr>
        <w:t>Principal Recipient</w:t>
      </w:r>
      <w:r>
        <w:rPr>
          <w:rFonts w:ascii="Arial" w:eastAsia="Times New Roman" w:hAnsi="Arial" w:cs="Arial"/>
          <w:sz w:val="20"/>
          <w:szCs w:val="20"/>
        </w:rPr>
        <w:t xml:space="preserve">(PR1) </w:t>
      </w:r>
      <w:r w:rsidR="00B91298" w:rsidRPr="001361C6">
        <w:rPr>
          <w:rFonts w:ascii="Arial" w:eastAsia="Times New Roman" w:hAnsi="Arial" w:cs="Arial"/>
          <w:sz w:val="20"/>
          <w:szCs w:val="20"/>
        </w:rPr>
        <w:t>will be the Economic Relations Division of the Ministry of Finance, Government of Bangladesh</w:t>
      </w:r>
      <w:r w:rsidRPr="001361C6">
        <w:rPr>
          <w:rFonts w:ascii="Arial" w:eastAsia="Times New Roman" w:hAnsi="Arial" w:cs="Arial"/>
          <w:sz w:val="20"/>
          <w:szCs w:val="20"/>
        </w:rPr>
        <w:t xml:space="preserve"> (GoB)</w:t>
      </w:r>
      <w:r w:rsidR="00B91298" w:rsidRPr="001361C6">
        <w:rPr>
          <w:rFonts w:ascii="Arial" w:eastAsia="Times New Roman" w:hAnsi="Arial" w:cs="Arial"/>
          <w:sz w:val="20"/>
          <w:szCs w:val="20"/>
        </w:rPr>
        <w:t xml:space="preserve">, which will provide </w:t>
      </w:r>
      <w:r>
        <w:rPr>
          <w:rFonts w:ascii="Arial" w:eastAsia="Times New Roman" w:hAnsi="Arial" w:cs="Arial"/>
          <w:sz w:val="20"/>
          <w:szCs w:val="20"/>
        </w:rPr>
        <w:t xml:space="preserve">financial </w:t>
      </w:r>
      <w:r w:rsidR="00B91298" w:rsidRPr="001361C6">
        <w:rPr>
          <w:rFonts w:ascii="Arial" w:eastAsia="Times New Roman" w:hAnsi="Arial" w:cs="Arial"/>
          <w:sz w:val="20"/>
          <w:szCs w:val="20"/>
        </w:rPr>
        <w:t>support to the National Malaria Elimination Programme through the Ministry of Health and Family Welfare.  The</w:t>
      </w:r>
      <w:r>
        <w:rPr>
          <w:rFonts w:ascii="Arial" w:eastAsia="Times New Roman" w:hAnsi="Arial" w:cs="Arial"/>
          <w:sz w:val="20"/>
          <w:szCs w:val="20"/>
        </w:rPr>
        <w:t xml:space="preserve"> second</w:t>
      </w:r>
      <w:r w:rsidRPr="001361C6">
        <w:rPr>
          <w:rFonts w:ascii="Arial" w:eastAsia="Times New Roman" w:hAnsi="Arial" w:cs="Arial"/>
          <w:i/>
          <w:sz w:val="20"/>
          <w:szCs w:val="20"/>
        </w:rPr>
        <w:t>Principal Recipient</w:t>
      </w:r>
      <w:r>
        <w:rPr>
          <w:rFonts w:ascii="Arial" w:eastAsia="Times New Roman" w:hAnsi="Arial" w:cs="Arial"/>
          <w:sz w:val="20"/>
          <w:szCs w:val="20"/>
        </w:rPr>
        <w:t xml:space="preserve">(PR2) will bethe Dhaka-based international non-governmental </w:t>
      </w:r>
      <w:r w:rsidRPr="004040A5">
        <w:rPr>
          <w:rFonts w:ascii="Arial" w:eastAsia="Times New Roman" w:hAnsi="Arial" w:cs="Arial"/>
          <w:sz w:val="20"/>
          <w:szCs w:val="20"/>
        </w:rPr>
        <w:t xml:space="preserve">organization </w:t>
      </w:r>
      <w:r w:rsidR="00B91298" w:rsidRPr="004040A5">
        <w:rPr>
          <w:rFonts w:ascii="Arial" w:eastAsia="Times New Roman" w:hAnsi="Arial" w:cs="Arial"/>
          <w:sz w:val="20"/>
          <w:szCs w:val="20"/>
        </w:rPr>
        <w:t>BRAC</w:t>
      </w:r>
      <w:r w:rsidRPr="004040A5">
        <w:rPr>
          <w:rFonts w:ascii="Arial" w:eastAsia="Times New Roman" w:hAnsi="Arial" w:cs="Arial"/>
          <w:sz w:val="20"/>
          <w:szCs w:val="20"/>
        </w:rPr>
        <w:t xml:space="preserve">, which </w:t>
      </w:r>
      <w:r w:rsidR="00B91298" w:rsidRPr="004040A5">
        <w:rPr>
          <w:rFonts w:ascii="Arial" w:eastAsia="Times New Roman" w:hAnsi="Arial" w:cs="Arial"/>
          <w:sz w:val="20"/>
          <w:szCs w:val="20"/>
        </w:rPr>
        <w:t xml:space="preserve">leads </w:t>
      </w:r>
      <w:r w:rsidR="00BD022B" w:rsidRPr="004040A5">
        <w:rPr>
          <w:rFonts w:ascii="Arial" w:eastAsia="Times New Roman" w:hAnsi="Arial" w:cs="Arial"/>
          <w:sz w:val="20"/>
          <w:szCs w:val="20"/>
        </w:rPr>
        <w:t>the NGO consortium</w:t>
      </w:r>
      <w:r w:rsidRPr="004040A5">
        <w:rPr>
          <w:rFonts w:ascii="Arial" w:eastAsia="Times New Roman" w:hAnsi="Arial" w:cs="Arial"/>
          <w:sz w:val="20"/>
          <w:szCs w:val="20"/>
        </w:rPr>
        <w:t xml:space="preserve"> to support the national malaria elimination effort</w:t>
      </w:r>
      <w:r w:rsidR="00050B8A" w:rsidRPr="004040A5">
        <w:rPr>
          <w:rFonts w:ascii="Arial" w:eastAsia="Times New Roman" w:hAnsi="Arial" w:cs="Arial"/>
          <w:sz w:val="20"/>
          <w:szCs w:val="20"/>
        </w:rPr>
        <w:t>.</w:t>
      </w:r>
    </w:p>
    <w:p w:rsidR="007C2AC9" w:rsidRPr="00EB3B08" w:rsidRDefault="001361C6" w:rsidP="00D9024F">
      <w:pPr>
        <w:spacing w:after="120" w:line="240" w:lineRule="auto"/>
        <w:rPr>
          <w:rFonts w:ascii="Arial" w:eastAsia="Times New Roman" w:hAnsi="Arial" w:cs="Arial"/>
          <w:b/>
          <w:sz w:val="20"/>
          <w:szCs w:val="20"/>
        </w:rPr>
      </w:pPr>
      <w:r>
        <w:rPr>
          <w:rFonts w:ascii="Arial" w:eastAsia="Times New Roman" w:hAnsi="Arial" w:cs="Arial"/>
          <w:sz w:val="20"/>
          <w:szCs w:val="20"/>
        </w:rPr>
        <w:t xml:space="preserve">Adopting the successful model applied under the current NFM grant, </w:t>
      </w:r>
      <w:r w:rsidR="00B91298" w:rsidRPr="001361C6">
        <w:rPr>
          <w:rFonts w:ascii="Arial" w:eastAsia="Times New Roman" w:hAnsi="Arial" w:cs="Arial"/>
          <w:sz w:val="20"/>
          <w:szCs w:val="20"/>
        </w:rPr>
        <w:t xml:space="preserve">PR1 </w:t>
      </w:r>
      <w:r>
        <w:rPr>
          <w:rFonts w:ascii="Arial" w:eastAsia="Times New Roman" w:hAnsi="Arial" w:cs="Arial"/>
          <w:sz w:val="20"/>
          <w:szCs w:val="20"/>
        </w:rPr>
        <w:t>will</w:t>
      </w:r>
      <w:r w:rsidR="00B91298" w:rsidRPr="001361C6">
        <w:rPr>
          <w:rFonts w:ascii="Arial" w:eastAsia="Times New Roman" w:hAnsi="Arial" w:cs="Arial"/>
          <w:sz w:val="20"/>
          <w:szCs w:val="20"/>
        </w:rPr>
        <w:t xml:space="preserve"> be mainly responsible for planning, procurement </w:t>
      </w:r>
      <w:r w:rsidR="007C2AC9">
        <w:rPr>
          <w:rFonts w:ascii="Arial" w:eastAsia="Times New Roman" w:hAnsi="Arial" w:cs="Arial"/>
          <w:sz w:val="20"/>
          <w:szCs w:val="20"/>
        </w:rPr>
        <w:t xml:space="preserve">and supply </w:t>
      </w:r>
      <w:r w:rsidR="00B91298" w:rsidRPr="001361C6">
        <w:rPr>
          <w:rFonts w:ascii="Arial" w:eastAsia="Times New Roman" w:hAnsi="Arial" w:cs="Arial"/>
          <w:sz w:val="20"/>
          <w:szCs w:val="20"/>
        </w:rPr>
        <w:t>of health products</w:t>
      </w:r>
      <w:r w:rsidR="007C2AC9">
        <w:rPr>
          <w:rFonts w:ascii="Arial" w:eastAsia="Times New Roman" w:hAnsi="Arial" w:cs="Arial"/>
          <w:sz w:val="20"/>
          <w:szCs w:val="20"/>
        </w:rPr>
        <w:t xml:space="preserve"> and </w:t>
      </w:r>
      <w:r w:rsidR="00B91298" w:rsidRPr="001361C6">
        <w:rPr>
          <w:rFonts w:ascii="Arial" w:eastAsia="Times New Roman" w:hAnsi="Arial" w:cs="Arial"/>
          <w:sz w:val="20"/>
          <w:szCs w:val="20"/>
        </w:rPr>
        <w:t xml:space="preserve">pharmaceuticals </w:t>
      </w:r>
      <w:r w:rsidR="007C2AC9">
        <w:rPr>
          <w:rFonts w:ascii="Arial" w:eastAsia="Times New Roman" w:hAnsi="Arial" w:cs="Arial"/>
          <w:sz w:val="20"/>
          <w:szCs w:val="20"/>
        </w:rPr>
        <w:t>(for both PRs)</w:t>
      </w:r>
      <w:r w:rsidR="00EB3B08">
        <w:rPr>
          <w:rFonts w:ascii="Arial" w:eastAsia="Times New Roman" w:hAnsi="Arial" w:cs="Arial"/>
          <w:sz w:val="20"/>
          <w:szCs w:val="20"/>
        </w:rPr>
        <w:t xml:space="preserve">, implementation, M&amp;E, </w:t>
      </w:r>
      <w:r w:rsidR="00B91298" w:rsidRPr="001361C6">
        <w:rPr>
          <w:rFonts w:ascii="Arial" w:eastAsia="Times New Roman" w:hAnsi="Arial" w:cs="Arial"/>
          <w:sz w:val="20"/>
          <w:szCs w:val="20"/>
        </w:rPr>
        <w:t>review</w:t>
      </w:r>
      <w:r w:rsidR="007C2AC9">
        <w:rPr>
          <w:rFonts w:ascii="Arial" w:eastAsia="Times New Roman" w:hAnsi="Arial" w:cs="Arial"/>
          <w:sz w:val="20"/>
          <w:szCs w:val="20"/>
        </w:rPr>
        <w:t xml:space="preserve">, and </w:t>
      </w:r>
      <w:r w:rsidR="00B91298" w:rsidRPr="001361C6">
        <w:rPr>
          <w:rFonts w:ascii="Arial" w:eastAsia="Times New Roman" w:hAnsi="Arial" w:cs="Arial"/>
          <w:sz w:val="20"/>
          <w:szCs w:val="20"/>
        </w:rPr>
        <w:t xml:space="preserve">oversight of PR2 activities. PR2 </w:t>
      </w:r>
      <w:r w:rsidR="007C2AC9">
        <w:rPr>
          <w:rFonts w:ascii="Arial" w:eastAsia="Times New Roman" w:hAnsi="Arial" w:cs="Arial"/>
          <w:sz w:val="20"/>
          <w:szCs w:val="20"/>
        </w:rPr>
        <w:t>will</w:t>
      </w:r>
      <w:r w:rsidR="00B91298" w:rsidRPr="001361C6">
        <w:rPr>
          <w:rFonts w:ascii="Arial" w:eastAsia="Times New Roman" w:hAnsi="Arial" w:cs="Arial"/>
          <w:sz w:val="20"/>
          <w:szCs w:val="20"/>
        </w:rPr>
        <w:t xml:space="preserve"> complement PR1 activities at communit</w:t>
      </w:r>
      <w:r w:rsidR="00EB3B08">
        <w:rPr>
          <w:rFonts w:ascii="Arial" w:eastAsia="Times New Roman" w:hAnsi="Arial" w:cs="Arial"/>
          <w:sz w:val="20"/>
          <w:szCs w:val="20"/>
        </w:rPr>
        <w:t xml:space="preserve">y level in endemic districts. </w:t>
      </w:r>
      <w:r w:rsidR="00B91298" w:rsidRPr="001361C6">
        <w:rPr>
          <w:rFonts w:ascii="Arial" w:eastAsia="Times New Roman" w:hAnsi="Arial" w:cs="Arial"/>
          <w:sz w:val="20"/>
          <w:szCs w:val="20"/>
        </w:rPr>
        <w:t>The m</w:t>
      </w:r>
      <w:r w:rsidR="00B91298" w:rsidRPr="001361C6">
        <w:rPr>
          <w:rFonts w:ascii="Arial" w:hAnsi="Arial" w:cs="Arial"/>
          <w:bCs/>
          <w:sz w:val="20"/>
          <w:szCs w:val="20"/>
        </w:rPr>
        <w:t xml:space="preserve">ajor modules/interventions </w:t>
      </w:r>
      <w:r w:rsidR="007C2AC9">
        <w:rPr>
          <w:rFonts w:ascii="Arial" w:hAnsi="Arial" w:cs="Arial"/>
          <w:bCs/>
          <w:sz w:val="20"/>
          <w:szCs w:val="20"/>
        </w:rPr>
        <w:t>for the two PRs are</w:t>
      </w:r>
      <w:r w:rsidR="00D9024F">
        <w:rPr>
          <w:rFonts w:ascii="Arial" w:hAnsi="Arial" w:cs="Arial"/>
          <w:bCs/>
          <w:sz w:val="20"/>
          <w:szCs w:val="20"/>
        </w:rPr>
        <w:t xml:space="preserve"> presented in table 3.1.  </w:t>
      </w:r>
      <w:r w:rsidR="00B91298" w:rsidRPr="001361C6">
        <w:rPr>
          <w:rFonts w:ascii="Arial" w:hAnsi="Arial" w:cs="Arial"/>
          <w:bCs/>
          <w:sz w:val="20"/>
          <w:szCs w:val="20"/>
        </w:rPr>
        <w:t xml:space="preserve">All </w:t>
      </w:r>
      <w:r w:rsidR="007C2AC9">
        <w:rPr>
          <w:rFonts w:ascii="Arial" w:hAnsi="Arial" w:cs="Arial"/>
          <w:bCs/>
          <w:sz w:val="20"/>
          <w:szCs w:val="20"/>
        </w:rPr>
        <w:t>21 sub-r</w:t>
      </w:r>
      <w:r w:rsidR="00B91298" w:rsidRPr="001361C6">
        <w:rPr>
          <w:rFonts w:ascii="Arial" w:hAnsi="Arial" w:cs="Arial"/>
          <w:bCs/>
          <w:sz w:val="20"/>
          <w:szCs w:val="20"/>
        </w:rPr>
        <w:t>ecipients</w:t>
      </w:r>
      <w:r w:rsidR="007C2AC9">
        <w:rPr>
          <w:rFonts w:ascii="Arial" w:hAnsi="Arial" w:cs="Arial"/>
          <w:bCs/>
          <w:sz w:val="20"/>
          <w:szCs w:val="20"/>
        </w:rPr>
        <w:t xml:space="preserve"> (SRs)</w:t>
      </w:r>
      <w:r w:rsidR="00050B8A">
        <w:rPr>
          <w:rFonts w:ascii="Arial" w:hAnsi="Arial" w:cs="Arial"/>
          <w:bCs/>
          <w:sz w:val="20"/>
          <w:szCs w:val="20"/>
        </w:rPr>
        <w:t xml:space="preserve">of PR2 </w:t>
      </w:r>
      <w:r w:rsidR="007C2AC9">
        <w:rPr>
          <w:rFonts w:ascii="Arial" w:hAnsi="Arial" w:cs="Arial"/>
          <w:bCs/>
          <w:sz w:val="20"/>
          <w:szCs w:val="20"/>
        </w:rPr>
        <w:t>will be</w:t>
      </w:r>
      <w:r w:rsidR="00B91298" w:rsidRPr="001361C6">
        <w:rPr>
          <w:rFonts w:ascii="Arial" w:hAnsi="Arial" w:cs="Arial"/>
          <w:bCs/>
          <w:sz w:val="20"/>
          <w:szCs w:val="20"/>
        </w:rPr>
        <w:t xml:space="preserve"> responsible for</w:t>
      </w:r>
      <w:r w:rsidR="00D9024F">
        <w:rPr>
          <w:rFonts w:ascii="Arial" w:hAnsi="Arial" w:cs="Arial"/>
          <w:bCs/>
          <w:sz w:val="20"/>
          <w:szCs w:val="20"/>
        </w:rPr>
        <w:t xml:space="preserve"> implementation of </w:t>
      </w:r>
      <w:r w:rsidR="00050B8A">
        <w:rPr>
          <w:rFonts w:ascii="Arial" w:hAnsi="Arial" w:cs="Arial"/>
          <w:bCs/>
          <w:sz w:val="20"/>
          <w:szCs w:val="20"/>
        </w:rPr>
        <w:t xml:space="preserve">communication, </w:t>
      </w:r>
      <w:r w:rsidR="00D9024F">
        <w:rPr>
          <w:rFonts w:ascii="Arial" w:hAnsi="Arial" w:cs="Arial"/>
          <w:bCs/>
          <w:sz w:val="20"/>
          <w:szCs w:val="20"/>
        </w:rPr>
        <w:t>case management and LLIN delivery related activities at community level.</w:t>
      </w:r>
    </w:p>
    <w:p w:rsidR="007C2AC9" w:rsidRPr="007C2AC9" w:rsidRDefault="007C2AC9" w:rsidP="007C2AC9">
      <w:pPr>
        <w:widowControl w:val="0"/>
        <w:spacing w:after="120" w:line="240" w:lineRule="auto"/>
        <w:rPr>
          <w:rFonts w:ascii="Arial" w:hAnsi="Arial" w:cs="Arial"/>
          <w:bCs/>
          <w:sz w:val="20"/>
          <w:szCs w:val="20"/>
          <w:lang w:val="en-US"/>
        </w:rPr>
      </w:pPr>
      <w:r w:rsidRPr="007C2AC9">
        <w:rPr>
          <w:rFonts w:ascii="Arial" w:hAnsi="Arial" w:cs="Arial"/>
          <w:bCs/>
          <w:sz w:val="20"/>
          <w:szCs w:val="20"/>
          <w:lang w:val="en-US"/>
        </w:rPr>
        <w:t xml:space="preserve">The national malaria control effort has gained momentum through the creation </w:t>
      </w:r>
      <w:r w:rsidR="00050B8A">
        <w:rPr>
          <w:rFonts w:ascii="Arial" w:hAnsi="Arial" w:cs="Arial"/>
          <w:bCs/>
          <w:sz w:val="20"/>
          <w:szCs w:val="20"/>
          <w:lang w:val="en-US"/>
        </w:rPr>
        <w:t xml:space="preserve">in 2005 </w:t>
      </w:r>
      <w:r w:rsidRPr="007C2AC9">
        <w:rPr>
          <w:rFonts w:ascii="Arial" w:hAnsi="Arial" w:cs="Arial"/>
          <w:bCs/>
          <w:sz w:val="20"/>
          <w:szCs w:val="20"/>
          <w:lang w:val="en-US"/>
        </w:rPr>
        <w:t xml:space="preserve">of </w:t>
      </w:r>
      <w:r>
        <w:rPr>
          <w:rFonts w:ascii="Arial" w:hAnsi="Arial" w:cs="Arial"/>
          <w:bCs/>
          <w:sz w:val="20"/>
          <w:szCs w:val="20"/>
          <w:lang w:val="en-US"/>
        </w:rPr>
        <w:t>the</w:t>
      </w:r>
      <w:r w:rsidRPr="007C2AC9">
        <w:rPr>
          <w:rFonts w:ascii="Arial" w:hAnsi="Arial" w:cs="Arial"/>
          <w:bCs/>
          <w:sz w:val="20"/>
          <w:szCs w:val="20"/>
          <w:lang w:val="en-US"/>
        </w:rPr>
        <w:t xml:space="preserve"> special </w:t>
      </w:r>
      <w:r>
        <w:rPr>
          <w:rFonts w:ascii="Arial" w:hAnsi="Arial" w:cs="Arial"/>
          <w:bCs/>
          <w:sz w:val="20"/>
          <w:szCs w:val="20"/>
          <w:lang w:val="en-US"/>
        </w:rPr>
        <w:t xml:space="preserve">NMCP-BRAC </w:t>
      </w:r>
      <w:r w:rsidRPr="007C2AC9">
        <w:rPr>
          <w:rFonts w:ascii="Arial" w:hAnsi="Arial" w:cs="Arial"/>
          <w:bCs/>
          <w:sz w:val="20"/>
          <w:szCs w:val="20"/>
          <w:lang w:val="en-US"/>
        </w:rPr>
        <w:t xml:space="preserve">partnership, which has been recognized both nationally and internationally as an </w:t>
      </w:r>
      <w:r w:rsidRPr="004040A5">
        <w:rPr>
          <w:rFonts w:ascii="Arial" w:hAnsi="Arial" w:cs="Arial"/>
          <w:bCs/>
          <w:sz w:val="20"/>
          <w:szCs w:val="20"/>
          <w:lang w:val="en-US"/>
        </w:rPr>
        <w:t xml:space="preserve">example of best practice in collaboration between government and NGO sectors. The focus of the </w:t>
      </w:r>
      <w:r w:rsidR="00BD022B" w:rsidRPr="004040A5">
        <w:rPr>
          <w:rFonts w:ascii="Arial" w:hAnsi="Arial" w:cs="Arial"/>
          <w:bCs/>
          <w:sz w:val="20"/>
          <w:szCs w:val="20"/>
          <w:lang w:val="en-US"/>
        </w:rPr>
        <w:t xml:space="preserve">NGO </w:t>
      </w:r>
      <w:r w:rsidRPr="004040A5">
        <w:rPr>
          <w:rFonts w:ascii="Arial" w:hAnsi="Arial" w:cs="Arial"/>
          <w:bCs/>
          <w:sz w:val="20"/>
          <w:szCs w:val="20"/>
          <w:lang w:val="en-US"/>
        </w:rPr>
        <w:t>consortium has</w:t>
      </w:r>
      <w:r>
        <w:rPr>
          <w:rFonts w:ascii="Arial" w:hAnsi="Arial" w:cs="Arial"/>
          <w:bCs/>
          <w:sz w:val="20"/>
          <w:szCs w:val="20"/>
          <w:lang w:val="en-US"/>
        </w:rPr>
        <w:t xml:space="preserve"> been</w:t>
      </w:r>
      <w:r w:rsidRPr="007C2AC9">
        <w:rPr>
          <w:rFonts w:ascii="Arial" w:hAnsi="Arial" w:cs="Arial"/>
          <w:bCs/>
          <w:sz w:val="20"/>
          <w:szCs w:val="20"/>
          <w:lang w:val="en-US"/>
        </w:rPr>
        <w:t xml:space="preserve"> on strengthening and enhancing the malaria control programme (table </w:t>
      </w:r>
      <w:r w:rsidR="00AC37AE">
        <w:rPr>
          <w:rFonts w:ascii="Arial" w:hAnsi="Arial" w:cs="Arial"/>
          <w:bCs/>
          <w:sz w:val="20"/>
          <w:szCs w:val="20"/>
          <w:lang w:val="en-US"/>
        </w:rPr>
        <w:t>3.1</w:t>
      </w:r>
      <w:r w:rsidRPr="007C2AC9">
        <w:rPr>
          <w:rFonts w:ascii="Arial" w:hAnsi="Arial" w:cs="Arial"/>
          <w:bCs/>
          <w:sz w:val="20"/>
          <w:szCs w:val="20"/>
          <w:lang w:val="en-US"/>
        </w:rPr>
        <w:t xml:space="preserve">). The partnership created synergies, which strengthened implementation by each or the partners, improved both the quality and the timeliness of programme outputs and ultimately optimized outcomes and maximized impact. Mutual understanding among the various partners, brought about by frequent communication for problem solving and by sharing ideas and experiences, has been key to the success of the partnership. </w:t>
      </w:r>
    </w:p>
    <w:p w:rsidR="007C2AC9" w:rsidRPr="007C2AC9" w:rsidRDefault="007C2AC9" w:rsidP="007C2AC9">
      <w:pPr>
        <w:widowControl w:val="0"/>
        <w:spacing w:after="120" w:line="240" w:lineRule="auto"/>
        <w:rPr>
          <w:rFonts w:ascii="Arial" w:hAnsi="Arial" w:cs="Arial"/>
          <w:bCs/>
          <w:sz w:val="20"/>
          <w:szCs w:val="20"/>
          <w:lang w:val="en-US"/>
        </w:rPr>
      </w:pPr>
      <w:r w:rsidRPr="007C2AC9">
        <w:rPr>
          <w:rFonts w:ascii="Arial" w:hAnsi="Arial" w:cs="Arial"/>
          <w:b/>
          <w:bCs/>
          <w:sz w:val="20"/>
          <w:szCs w:val="20"/>
        </w:rPr>
        <w:t xml:space="preserve">Table </w:t>
      </w:r>
      <w:r>
        <w:rPr>
          <w:rFonts w:ascii="Arial" w:hAnsi="Arial" w:cs="Arial"/>
          <w:b/>
          <w:bCs/>
          <w:sz w:val="20"/>
          <w:szCs w:val="20"/>
        </w:rPr>
        <w:t>3.1</w:t>
      </w:r>
      <w:r w:rsidRPr="007C2AC9">
        <w:rPr>
          <w:rFonts w:ascii="Arial" w:hAnsi="Arial" w:cs="Arial"/>
          <w:b/>
          <w:bCs/>
          <w:sz w:val="20"/>
          <w:szCs w:val="20"/>
        </w:rPr>
        <w:t xml:space="preserve">: Areas and responsibilities in </w:t>
      </w:r>
      <w:r w:rsidR="00827D4F">
        <w:rPr>
          <w:rFonts w:ascii="Arial" w:hAnsi="Arial" w:cs="Arial"/>
          <w:b/>
          <w:bCs/>
          <w:sz w:val="20"/>
          <w:szCs w:val="20"/>
        </w:rPr>
        <w:t>NMEP</w:t>
      </w:r>
      <w:r w:rsidRPr="007C2AC9">
        <w:rPr>
          <w:rFonts w:ascii="Arial" w:hAnsi="Arial" w:cs="Arial"/>
          <w:b/>
          <w:bCs/>
          <w:sz w:val="20"/>
          <w:szCs w:val="20"/>
        </w:rPr>
        <w:t>-NGO collaboration.</w:t>
      </w:r>
    </w:p>
    <w:p w:rsidR="00AC37AE" w:rsidRPr="00EB3B08" w:rsidRDefault="007C2AC9" w:rsidP="001361C6">
      <w:pPr>
        <w:widowControl w:val="0"/>
        <w:spacing w:after="120" w:line="240" w:lineRule="auto"/>
        <w:rPr>
          <w:rFonts w:ascii="Arial" w:hAnsi="Arial" w:cs="Arial"/>
          <w:b/>
          <w:bCs/>
          <w:sz w:val="20"/>
          <w:szCs w:val="20"/>
        </w:rPr>
      </w:pPr>
      <w:r w:rsidRPr="007C2AC9">
        <w:rPr>
          <w:rFonts w:ascii="Arial" w:hAnsi="Arial" w:cs="Arial"/>
          <w:b/>
          <w:bCs/>
          <w:noProof/>
          <w:sz w:val="20"/>
          <w:szCs w:val="20"/>
          <w:lang w:eastAsia="en-GB"/>
        </w:rPr>
        <w:lastRenderedPageBreak/>
        <w:drawing>
          <wp:inline distT="0" distB="0" distL="0" distR="0">
            <wp:extent cx="5270500" cy="1847007"/>
            <wp:effectExtent l="0" t="0" r="0" b="762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270500" cy="1847007"/>
                    </a:xfrm>
                    <a:prstGeom prst="rect">
                      <a:avLst/>
                    </a:prstGeom>
                    <a:noFill/>
                    <a:ln>
                      <a:noFill/>
                    </a:ln>
                  </pic:spPr>
                </pic:pic>
              </a:graphicData>
            </a:graphic>
          </wp:inline>
        </w:drawing>
      </w:r>
    </w:p>
    <w:p w:rsidR="00A63136" w:rsidRDefault="00A63136" w:rsidP="00956E02">
      <w:pPr>
        <w:pStyle w:val="ListParagraph"/>
        <w:widowControl w:val="0"/>
        <w:tabs>
          <w:tab w:val="left" w:pos="142"/>
        </w:tabs>
        <w:spacing w:after="120" w:line="240" w:lineRule="auto"/>
        <w:ind w:left="0"/>
        <w:rPr>
          <w:rFonts w:ascii="Arial" w:eastAsia="SimSun" w:hAnsi="Arial" w:cs="Arial"/>
          <w:sz w:val="20"/>
          <w:szCs w:val="20"/>
          <w:lang w:eastAsia="zh-CN"/>
        </w:rPr>
      </w:pPr>
      <w:r>
        <w:rPr>
          <w:rFonts w:ascii="Arial" w:eastAsia="SimSun" w:hAnsi="Arial" w:cs="Arial"/>
          <w:sz w:val="20"/>
          <w:szCs w:val="20"/>
          <w:lang w:eastAsia="zh-CN"/>
        </w:rPr>
        <w:t xml:space="preserve">Although the implementation of previous grants has been highly successful, the roll-out of elimination in less endemic districts and the increased emphasis on transmission reduction in more endemic districts will considerably increase the programme’s workload. As recommended in the recent JMM, the capacity of the programme will need to be increased through </w:t>
      </w:r>
      <w:r w:rsidR="00050B8A">
        <w:rPr>
          <w:rFonts w:ascii="Arial" w:eastAsia="SimSun" w:hAnsi="Arial" w:cs="Arial"/>
          <w:sz w:val="20"/>
          <w:szCs w:val="20"/>
          <w:lang w:eastAsia="zh-CN"/>
        </w:rPr>
        <w:t>hiring additional staff</w:t>
      </w:r>
      <w:r>
        <w:rPr>
          <w:rFonts w:ascii="Arial" w:eastAsia="SimSun" w:hAnsi="Arial" w:cs="Arial"/>
          <w:sz w:val="20"/>
          <w:szCs w:val="20"/>
          <w:lang w:eastAsia="zh-CN"/>
        </w:rPr>
        <w:t xml:space="preserve"> and </w:t>
      </w:r>
      <w:r w:rsidR="00050B8A">
        <w:rPr>
          <w:rFonts w:ascii="Arial" w:eastAsia="SimSun" w:hAnsi="Arial" w:cs="Arial"/>
          <w:sz w:val="20"/>
          <w:szCs w:val="20"/>
          <w:lang w:eastAsia="zh-CN"/>
        </w:rPr>
        <w:t xml:space="preserve">through </w:t>
      </w:r>
      <w:r>
        <w:rPr>
          <w:rFonts w:ascii="Arial" w:eastAsia="SimSun" w:hAnsi="Arial" w:cs="Arial"/>
          <w:sz w:val="20"/>
          <w:szCs w:val="20"/>
          <w:lang w:eastAsia="zh-CN"/>
        </w:rPr>
        <w:t xml:space="preserve">training. </w:t>
      </w:r>
    </w:p>
    <w:p w:rsidR="00A63136" w:rsidRPr="00A63136" w:rsidRDefault="00A63136" w:rsidP="00956E02">
      <w:pPr>
        <w:pStyle w:val="ListParagraph"/>
        <w:widowControl w:val="0"/>
        <w:tabs>
          <w:tab w:val="left" w:pos="142"/>
        </w:tabs>
        <w:spacing w:after="120" w:line="240" w:lineRule="auto"/>
        <w:ind w:left="0"/>
        <w:rPr>
          <w:rFonts w:ascii="Arial" w:eastAsia="SimSun" w:hAnsi="Arial" w:cs="Arial"/>
          <w:sz w:val="12"/>
          <w:szCs w:val="12"/>
          <w:lang w:eastAsia="zh-CN"/>
        </w:rPr>
      </w:pPr>
    </w:p>
    <w:p w:rsidR="00B91298" w:rsidRPr="00956E02" w:rsidRDefault="00A63136" w:rsidP="00956E02">
      <w:pPr>
        <w:pStyle w:val="ListParagraph"/>
        <w:widowControl w:val="0"/>
        <w:tabs>
          <w:tab w:val="left" w:pos="142"/>
        </w:tabs>
        <w:spacing w:after="120" w:line="240" w:lineRule="auto"/>
        <w:ind w:left="0"/>
        <w:rPr>
          <w:rFonts w:ascii="Arial" w:eastAsia="SimSun" w:hAnsi="Arial" w:cs="Arial"/>
          <w:sz w:val="20"/>
          <w:szCs w:val="20"/>
          <w:lang w:eastAsia="zh-CN"/>
        </w:rPr>
      </w:pPr>
      <w:r>
        <w:rPr>
          <w:rFonts w:ascii="Arial" w:eastAsia="SimSun" w:hAnsi="Arial" w:cs="Arial"/>
          <w:sz w:val="20"/>
          <w:szCs w:val="20"/>
          <w:lang w:eastAsia="zh-CN"/>
        </w:rPr>
        <w:t>T</w:t>
      </w:r>
      <w:r w:rsidR="00956E02">
        <w:rPr>
          <w:rFonts w:ascii="Arial" w:eastAsia="SimSun" w:hAnsi="Arial" w:cs="Arial"/>
          <w:sz w:val="20"/>
          <w:szCs w:val="20"/>
          <w:lang w:eastAsia="zh-CN"/>
        </w:rPr>
        <w:t xml:space="preserve">he development of the NSPME 2017-21, on which this funding request is based, </w:t>
      </w:r>
      <w:r w:rsidR="00F37F84" w:rsidRPr="00956E02">
        <w:rPr>
          <w:rFonts w:ascii="Arial" w:eastAsia="SimSun" w:hAnsi="Arial" w:cs="Arial"/>
          <w:sz w:val="20"/>
          <w:szCs w:val="20"/>
          <w:lang w:eastAsia="zh-CN"/>
        </w:rPr>
        <w:t>was a consultative and transparent process of meetings</w:t>
      </w:r>
      <w:r w:rsidR="00956E02">
        <w:rPr>
          <w:rFonts w:ascii="Arial" w:eastAsia="SimSun" w:hAnsi="Arial" w:cs="Arial"/>
          <w:sz w:val="20"/>
          <w:szCs w:val="20"/>
          <w:lang w:eastAsia="zh-CN"/>
        </w:rPr>
        <w:t xml:space="preserve"> and discussions</w:t>
      </w:r>
      <w:r w:rsidR="00F37F84" w:rsidRPr="00956E02">
        <w:rPr>
          <w:rFonts w:ascii="Arial" w:eastAsia="SimSun" w:hAnsi="Arial" w:cs="Arial"/>
          <w:sz w:val="20"/>
          <w:szCs w:val="20"/>
          <w:lang w:eastAsia="zh-CN"/>
        </w:rPr>
        <w:t xml:space="preserve">. </w:t>
      </w:r>
      <w:r w:rsidR="00956E02">
        <w:rPr>
          <w:rFonts w:ascii="Arial" w:eastAsia="SimSun" w:hAnsi="Arial" w:cs="Arial"/>
          <w:sz w:val="20"/>
          <w:szCs w:val="20"/>
          <w:lang w:eastAsia="zh-CN"/>
        </w:rPr>
        <w:t>National and international e</w:t>
      </w:r>
      <w:r w:rsidR="00F37F84" w:rsidRPr="00956E02">
        <w:rPr>
          <w:rFonts w:ascii="Arial" w:eastAsia="SimSun" w:hAnsi="Arial" w:cs="Arial"/>
          <w:sz w:val="20"/>
          <w:szCs w:val="20"/>
          <w:lang w:eastAsia="zh-CN"/>
        </w:rPr>
        <w:t xml:space="preserve">xperts, SRs and other partners who have </w:t>
      </w:r>
      <w:r w:rsidR="00956E02">
        <w:rPr>
          <w:rFonts w:ascii="Arial" w:eastAsia="SimSun" w:hAnsi="Arial" w:cs="Arial"/>
          <w:sz w:val="20"/>
          <w:szCs w:val="20"/>
          <w:lang w:eastAsia="zh-CN"/>
        </w:rPr>
        <w:t xml:space="preserve">had extensive </w:t>
      </w:r>
      <w:r w:rsidR="00F37F84" w:rsidRPr="00956E02">
        <w:rPr>
          <w:rFonts w:ascii="Arial" w:eastAsia="SimSun" w:hAnsi="Arial" w:cs="Arial"/>
          <w:sz w:val="20"/>
          <w:szCs w:val="20"/>
          <w:lang w:eastAsia="zh-CN"/>
        </w:rPr>
        <w:t xml:space="preserve">exposure to field-level implementation </w:t>
      </w:r>
      <w:r w:rsidR="00956E02">
        <w:rPr>
          <w:rFonts w:ascii="Arial" w:eastAsia="SimSun" w:hAnsi="Arial" w:cs="Arial"/>
          <w:sz w:val="20"/>
          <w:szCs w:val="20"/>
          <w:lang w:eastAsia="zh-CN"/>
        </w:rPr>
        <w:t xml:space="preserve">as well asrepresentatives of </w:t>
      </w:r>
      <w:r w:rsidR="00F37F84" w:rsidRPr="00956E02">
        <w:rPr>
          <w:rFonts w:ascii="Arial" w:eastAsia="SimSun" w:hAnsi="Arial" w:cs="Arial"/>
          <w:sz w:val="20"/>
          <w:szCs w:val="20"/>
          <w:lang w:eastAsia="zh-CN"/>
        </w:rPr>
        <w:t xml:space="preserve">communities-at-risk </w:t>
      </w:r>
      <w:r w:rsidR="00956E02">
        <w:rPr>
          <w:rFonts w:ascii="Arial" w:eastAsia="SimSun" w:hAnsi="Arial" w:cs="Arial"/>
          <w:sz w:val="20"/>
          <w:szCs w:val="20"/>
          <w:lang w:eastAsia="zh-CN"/>
        </w:rPr>
        <w:t>we</w:t>
      </w:r>
      <w:r w:rsidR="00F37F84" w:rsidRPr="00956E02">
        <w:rPr>
          <w:rFonts w:ascii="Arial" w:eastAsia="SimSun" w:hAnsi="Arial" w:cs="Arial"/>
          <w:sz w:val="20"/>
          <w:szCs w:val="20"/>
          <w:lang w:eastAsia="zh-CN"/>
        </w:rPr>
        <w:t xml:space="preserve">re </w:t>
      </w:r>
      <w:r w:rsidR="00956E02">
        <w:rPr>
          <w:rFonts w:ascii="Arial" w:eastAsia="SimSun" w:hAnsi="Arial" w:cs="Arial"/>
          <w:sz w:val="20"/>
          <w:szCs w:val="20"/>
          <w:lang w:eastAsia="zh-CN"/>
        </w:rPr>
        <w:t>involved</w:t>
      </w:r>
      <w:r w:rsidR="00D9024F">
        <w:rPr>
          <w:rFonts w:ascii="Arial" w:eastAsia="SimSun" w:hAnsi="Arial" w:cs="Arial"/>
          <w:sz w:val="20"/>
          <w:szCs w:val="20"/>
          <w:lang w:eastAsia="zh-CN"/>
        </w:rPr>
        <w:t>. This broad range of stakeholders</w:t>
      </w:r>
      <w:r w:rsidR="00956E02">
        <w:rPr>
          <w:rFonts w:ascii="Arial" w:eastAsia="SimSun" w:hAnsi="Arial" w:cs="Arial"/>
          <w:sz w:val="20"/>
          <w:szCs w:val="20"/>
          <w:lang w:eastAsia="zh-CN"/>
        </w:rPr>
        <w:t xml:space="preserve"> ha</w:t>
      </w:r>
      <w:r w:rsidR="00D9024F">
        <w:rPr>
          <w:rFonts w:ascii="Arial" w:eastAsia="SimSun" w:hAnsi="Arial" w:cs="Arial"/>
          <w:sz w:val="20"/>
          <w:szCs w:val="20"/>
          <w:lang w:eastAsia="zh-CN"/>
        </w:rPr>
        <w:t xml:space="preserve">ve </w:t>
      </w:r>
      <w:r w:rsidR="00956E02">
        <w:rPr>
          <w:rFonts w:ascii="Arial" w:eastAsia="SimSun" w:hAnsi="Arial" w:cs="Arial"/>
          <w:sz w:val="20"/>
          <w:szCs w:val="20"/>
          <w:lang w:eastAsia="zh-CN"/>
        </w:rPr>
        <w:t>worked to ensure that</w:t>
      </w:r>
      <w:r w:rsidR="00D9024F">
        <w:rPr>
          <w:rFonts w:ascii="Arial" w:eastAsia="SimSun" w:hAnsi="Arial" w:cs="Arial"/>
          <w:sz w:val="20"/>
          <w:szCs w:val="20"/>
          <w:lang w:eastAsia="zh-CN"/>
        </w:rPr>
        <w:t>programme activities target</w:t>
      </w:r>
      <w:r w:rsidR="00956E02">
        <w:rPr>
          <w:rFonts w:ascii="Arial" w:eastAsia="SimSun" w:hAnsi="Arial" w:cs="Arial"/>
          <w:sz w:val="20"/>
          <w:szCs w:val="20"/>
          <w:lang w:eastAsia="zh-CN"/>
        </w:rPr>
        <w:t xml:space="preserve"> the populations most at risk of malaria, which include </w:t>
      </w:r>
      <w:r w:rsidR="00F37F84" w:rsidRPr="00956E02">
        <w:rPr>
          <w:rFonts w:ascii="Arial" w:eastAsia="SimSun" w:hAnsi="Arial" w:cs="Arial"/>
          <w:sz w:val="20"/>
          <w:szCs w:val="20"/>
          <w:lang w:eastAsia="zh-CN"/>
        </w:rPr>
        <w:t xml:space="preserve">mobile populations, migrants, ethnic minorities and women </w:t>
      </w:r>
      <w:r w:rsidR="00956E02">
        <w:rPr>
          <w:rFonts w:ascii="Arial" w:eastAsia="SimSun" w:hAnsi="Arial" w:cs="Arial"/>
          <w:sz w:val="20"/>
          <w:szCs w:val="20"/>
          <w:lang w:eastAsia="zh-CN"/>
        </w:rPr>
        <w:t>living in the most endemic communities</w:t>
      </w:r>
      <w:r w:rsidR="00F37F84" w:rsidRPr="00956E02">
        <w:rPr>
          <w:rFonts w:ascii="Arial" w:eastAsia="SimSun" w:hAnsi="Arial" w:cs="Arial"/>
          <w:sz w:val="20"/>
          <w:szCs w:val="20"/>
          <w:lang w:eastAsia="zh-CN"/>
        </w:rPr>
        <w:t>.</w:t>
      </w:r>
      <w:r w:rsidR="00956E02" w:rsidRPr="001361C6">
        <w:rPr>
          <w:rFonts w:ascii="Arial" w:hAnsi="Arial" w:cs="Arial"/>
          <w:sz w:val="20"/>
          <w:szCs w:val="20"/>
        </w:rPr>
        <w:t xml:space="preserve">The </w:t>
      </w:r>
      <w:r w:rsidR="00956E02">
        <w:rPr>
          <w:rFonts w:ascii="Arial" w:hAnsi="Arial" w:cs="Arial"/>
          <w:sz w:val="20"/>
          <w:szCs w:val="20"/>
        </w:rPr>
        <w:t xml:space="preserve">vast majority of </w:t>
      </w:r>
      <w:r w:rsidR="00956E02" w:rsidRPr="00956E02">
        <w:rPr>
          <w:rFonts w:ascii="Arial" w:hAnsi="Arial" w:cs="Arial"/>
          <w:sz w:val="20"/>
          <w:szCs w:val="20"/>
        </w:rPr>
        <w:t>health workers and volunteers, especially those associated with the PR2</w:t>
      </w:r>
      <w:r w:rsidR="00956E02">
        <w:rPr>
          <w:rFonts w:ascii="Arial" w:hAnsi="Arial" w:cs="Arial"/>
          <w:sz w:val="20"/>
          <w:szCs w:val="20"/>
        </w:rPr>
        <w:t xml:space="preserve">’s </w:t>
      </w:r>
      <w:r w:rsidR="00956E02" w:rsidRPr="00956E02">
        <w:rPr>
          <w:rFonts w:ascii="Arial" w:hAnsi="Arial" w:cs="Arial"/>
          <w:sz w:val="20"/>
          <w:szCs w:val="20"/>
        </w:rPr>
        <w:t xml:space="preserve">consortium are women, and almost all are employed locally from </w:t>
      </w:r>
      <w:r w:rsidR="00956E02">
        <w:rPr>
          <w:rFonts w:ascii="Arial" w:hAnsi="Arial" w:cs="Arial"/>
          <w:sz w:val="20"/>
          <w:szCs w:val="20"/>
        </w:rPr>
        <w:t xml:space="preserve">malaria </w:t>
      </w:r>
      <w:r w:rsidR="00956E02" w:rsidRPr="00956E02">
        <w:rPr>
          <w:rFonts w:ascii="Arial" w:hAnsi="Arial" w:cs="Arial"/>
          <w:sz w:val="20"/>
          <w:szCs w:val="20"/>
        </w:rPr>
        <w:t xml:space="preserve">endemic </w:t>
      </w:r>
      <w:r w:rsidR="00956E02">
        <w:rPr>
          <w:rFonts w:ascii="Arial" w:hAnsi="Arial" w:cs="Arial"/>
          <w:sz w:val="20"/>
          <w:szCs w:val="20"/>
        </w:rPr>
        <w:t>areas. C</w:t>
      </w:r>
      <w:r w:rsidR="00956E02" w:rsidRPr="00956E02">
        <w:rPr>
          <w:rFonts w:ascii="Arial" w:hAnsi="Arial" w:cs="Arial"/>
          <w:sz w:val="20"/>
          <w:szCs w:val="20"/>
        </w:rPr>
        <w:t xml:space="preserve">ommunity meetings conducted by health workers mostly deal with women and girls. Furthermore, women are well represented on the CCM, which ensures their participation in programme oversight.  </w:t>
      </w:r>
    </w:p>
    <w:p w:rsidR="002F1457" w:rsidRDefault="00AC37AE" w:rsidP="00D00953">
      <w:pPr>
        <w:spacing w:after="120" w:line="240" w:lineRule="auto"/>
        <w:rPr>
          <w:rFonts w:ascii="Arial" w:hAnsi="Arial" w:cs="Arial"/>
          <w:bCs/>
          <w:sz w:val="20"/>
          <w:szCs w:val="20"/>
          <w:lang w:val="en-US"/>
        </w:rPr>
      </w:pPr>
      <w:r w:rsidRPr="00AC37AE">
        <w:rPr>
          <w:rFonts w:ascii="Arial" w:hAnsi="Arial" w:cs="Arial"/>
          <w:bCs/>
          <w:sz w:val="20"/>
          <w:szCs w:val="20"/>
          <w:lang w:val="en-US"/>
        </w:rPr>
        <w:t xml:space="preserve">PR1 is responsible for procurement of health products </w:t>
      </w:r>
      <w:r w:rsidR="00D00953">
        <w:rPr>
          <w:rFonts w:ascii="Arial" w:hAnsi="Arial" w:cs="Arial"/>
          <w:bCs/>
          <w:sz w:val="20"/>
          <w:szCs w:val="20"/>
          <w:lang w:val="en-US"/>
        </w:rPr>
        <w:t xml:space="preserve">and pharmaceuticals </w:t>
      </w:r>
      <w:r w:rsidRPr="00AC37AE">
        <w:rPr>
          <w:rFonts w:ascii="Arial" w:hAnsi="Arial" w:cs="Arial"/>
          <w:bCs/>
          <w:sz w:val="20"/>
          <w:szCs w:val="20"/>
          <w:lang w:val="en-US"/>
        </w:rPr>
        <w:t xml:space="preserve">under </w:t>
      </w:r>
      <w:r w:rsidR="00FC2534">
        <w:rPr>
          <w:rFonts w:ascii="Arial" w:hAnsi="Arial" w:cs="Arial"/>
          <w:bCs/>
          <w:sz w:val="20"/>
          <w:szCs w:val="20"/>
          <w:lang w:val="en-US"/>
        </w:rPr>
        <w:t>GF</w:t>
      </w:r>
      <w:r w:rsidRPr="00AC37AE">
        <w:rPr>
          <w:rFonts w:ascii="Arial" w:hAnsi="Arial" w:cs="Arial"/>
          <w:bCs/>
          <w:sz w:val="20"/>
          <w:szCs w:val="20"/>
          <w:lang w:val="en-US"/>
        </w:rPr>
        <w:t xml:space="preserve"> grant</w:t>
      </w:r>
      <w:r w:rsidR="00FC2534">
        <w:rPr>
          <w:rFonts w:ascii="Arial" w:hAnsi="Arial" w:cs="Arial"/>
          <w:bCs/>
          <w:sz w:val="20"/>
          <w:szCs w:val="20"/>
          <w:lang w:val="en-US"/>
        </w:rPr>
        <w:t>s</w:t>
      </w:r>
      <w:r w:rsidRPr="00AC37AE">
        <w:rPr>
          <w:rFonts w:ascii="Arial" w:hAnsi="Arial" w:cs="Arial"/>
          <w:bCs/>
          <w:sz w:val="20"/>
          <w:szCs w:val="20"/>
          <w:lang w:val="en-US"/>
        </w:rPr>
        <w:t xml:space="preserve">. </w:t>
      </w:r>
      <w:r w:rsidR="002F1457" w:rsidRPr="002F1457">
        <w:rPr>
          <w:rFonts w:ascii="Arial" w:hAnsi="Arial" w:cs="Arial"/>
          <w:bCs/>
          <w:sz w:val="20"/>
          <w:szCs w:val="20"/>
          <w:lang w:val="en-US"/>
        </w:rPr>
        <w:t>PR1 uses automated accounting software that can correctly and promptly record all transactions. Payments and other transactions are made through bank accounts to minimize risk. Supporting documents for all transactions are preserved and variances ar</w:t>
      </w:r>
      <w:r w:rsidR="002F1457">
        <w:rPr>
          <w:rFonts w:ascii="Arial" w:hAnsi="Arial" w:cs="Arial"/>
          <w:bCs/>
          <w:sz w:val="20"/>
          <w:szCs w:val="20"/>
          <w:lang w:val="en-US"/>
        </w:rPr>
        <w:t>e cross-</w:t>
      </w:r>
      <w:r w:rsidR="002F1457" w:rsidRPr="002F1457">
        <w:rPr>
          <w:rFonts w:ascii="Arial" w:hAnsi="Arial" w:cs="Arial"/>
          <w:bCs/>
          <w:sz w:val="20"/>
          <w:szCs w:val="20"/>
          <w:lang w:val="en-US"/>
        </w:rPr>
        <w:t xml:space="preserve">checked for appropriate corrective measures. </w:t>
      </w:r>
      <w:r w:rsidR="00EB3B08">
        <w:rPr>
          <w:rFonts w:ascii="Arial" w:hAnsi="Arial" w:cs="Arial"/>
          <w:bCs/>
          <w:sz w:val="20"/>
          <w:szCs w:val="20"/>
          <w:lang w:val="en-US"/>
        </w:rPr>
        <w:t>PR1</w:t>
      </w:r>
      <w:r w:rsidRPr="00AC37AE">
        <w:rPr>
          <w:rFonts w:ascii="Arial" w:hAnsi="Arial" w:cs="Arial"/>
          <w:bCs/>
          <w:sz w:val="20"/>
          <w:szCs w:val="20"/>
          <w:lang w:val="en-US"/>
        </w:rPr>
        <w:t xml:space="preserve"> has formed a PSM working group with members from both PRs and WHO to aid proper forecasting and planning of procurement and supply of these products up to end user level. </w:t>
      </w:r>
      <w:r w:rsidR="002F1457" w:rsidRPr="002F1457">
        <w:rPr>
          <w:rFonts w:ascii="Arial" w:hAnsi="Arial" w:cs="Arial"/>
          <w:bCs/>
          <w:sz w:val="20"/>
          <w:szCs w:val="20"/>
          <w:lang w:val="en-US"/>
        </w:rPr>
        <w:t>Coordination is maintained at all level</w:t>
      </w:r>
      <w:r w:rsidR="00EB3B08">
        <w:rPr>
          <w:rFonts w:ascii="Arial" w:hAnsi="Arial" w:cs="Arial"/>
          <w:bCs/>
          <w:sz w:val="20"/>
          <w:szCs w:val="20"/>
          <w:lang w:val="en-US"/>
        </w:rPr>
        <w:t>s,</w:t>
      </w:r>
      <w:r w:rsidR="002F1457" w:rsidRPr="002F1457">
        <w:rPr>
          <w:rFonts w:ascii="Arial" w:hAnsi="Arial" w:cs="Arial"/>
          <w:bCs/>
          <w:sz w:val="20"/>
          <w:szCs w:val="20"/>
          <w:lang w:val="en-US"/>
        </w:rPr>
        <w:t xml:space="preserve"> which includes port authorit</w:t>
      </w:r>
      <w:r w:rsidR="00EB3B08">
        <w:rPr>
          <w:rFonts w:ascii="Arial" w:hAnsi="Arial" w:cs="Arial"/>
          <w:bCs/>
          <w:sz w:val="20"/>
          <w:szCs w:val="20"/>
          <w:lang w:val="en-US"/>
        </w:rPr>
        <w:t>ies</w:t>
      </w:r>
      <w:r w:rsidR="002F1457" w:rsidRPr="002F1457">
        <w:rPr>
          <w:rFonts w:ascii="Arial" w:hAnsi="Arial" w:cs="Arial"/>
          <w:bCs/>
          <w:sz w:val="20"/>
          <w:szCs w:val="20"/>
          <w:lang w:val="en-US"/>
        </w:rPr>
        <w:t xml:space="preserve">, district civil surgeons and managers </w:t>
      </w:r>
      <w:r w:rsidR="00EB3B08">
        <w:rPr>
          <w:rFonts w:ascii="Arial" w:hAnsi="Arial" w:cs="Arial"/>
          <w:bCs/>
          <w:sz w:val="20"/>
          <w:szCs w:val="20"/>
          <w:lang w:val="en-US"/>
        </w:rPr>
        <w:t>associated with the</w:t>
      </w:r>
      <w:r w:rsidR="002F1457" w:rsidRPr="004040A5">
        <w:rPr>
          <w:rFonts w:ascii="Arial" w:hAnsi="Arial" w:cs="Arial"/>
          <w:bCs/>
          <w:sz w:val="20"/>
          <w:szCs w:val="20"/>
          <w:lang w:val="en-US"/>
        </w:rPr>
        <w:t>NGO consortium</w:t>
      </w:r>
      <w:r w:rsidR="002F1457" w:rsidRPr="002F1457">
        <w:rPr>
          <w:rFonts w:ascii="Arial" w:hAnsi="Arial" w:cs="Arial"/>
          <w:bCs/>
          <w:sz w:val="20"/>
          <w:szCs w:val="20"/>
          <w:lang w:val="en-US"/>
        </w:rPr>
        <w:t xml:space="preserve"> to ensure smooth transportation of goods. PR1 has </w:t>
      </w:r>
      <w:r w:rsidR="002F1457">
        <w:rPr>
          <w:rFonts w:ascii="Arial" w:hAnsi="Arial" w:cs="Arial"/>
          <w:bCs/>
          <w:sz w:val="20"/>
          <w:szCs w:val="20"/>
          <w:lang w:val="en-US"/>
        </w:rPr>
        <w:t xml:space="preserve">a </w:t>
      </w:r>
      <w:r w:rsidR="002F1457" w:rsidRPr="002F1457">
        <w:rPr>
          <w:rFonts w:ascii="Arial" w:hAnsi="Arial" w:cs="Arial"/>
          <w:bCs/>
          <w:sz w:val="20"/>
          <w:szCs w:val="20"/>
          <w:lang w:val="en-US"/>
        </w:rPr>
        <w:t xml:space="preserve">central level warehouse, </w:t>
      </w:r>
      <w:r w:rsidR="00EB3B08">
        <w:rPr>
          <w:rFonts w:ascii="Arial" w:hAnsi="Arial" w:cs="Arial"/>
          <w:bCs/>
          <w:sz w:val="20"/>
          <w:szCs w:val="20"/>
          <w:lang w:val="en-US"/>
        </w:rPr>
        <w:t>the‘</w:t>
      </w:r>
      <w:r w:rsidR="002F1457" w:rsidRPr="002F1457">
        <w:rPr>
          <w:rFonts w:ascii="Arial" w:hAnsi="Arial" w:cs="Arial"/>
          <w:bCs/>
          <w:sz w:val="20"/>
          <w:szCs w:val="20"/>
          <w:lang w:val="en-US"/>
        </w:rPr>
        <w:t>Centra</w:t>
      </w:r>
      <w:r w:rsidR="002F1457">
        <w:rPr>
          <w:rFonts w:ascii="Arial" w:hAnsi="Arial" w:cs="Arial"/>
          <w:bCs/>
          <w:sz w:val="20"/>
          <w:szCs w:val="20"/>
          <w:lang w:val="en-US"/>
        </w:rPr>
        <w:t>l Medical Stores Depot</w:t>
      </w:r>
      <w:r w:rsidR="00EB3B08">
        <w:rPr>
          <w:rFonts w:ascii="Arial" w:hAnsi="Arial" w:cs="Arial"/>
          <w:bCs/>
          <w:sz w:val="20"/>
          <w:szCs w:val="20"/>
          <w:lang w:val="en-US"/>
        </w:rPr>
        <w:t>’</w:t>
      </w:r>
      <w:r w:rsidR="002F1457">
        <w:rPr>
          <w:rFonts w:ascii="Arial" w:hAnsi="Arial" w:cs="Arial"/>
          <w:bCs/>
          <w:sz w:val="20"/>
          <w:szCs w:val="20"/>
          <w:lang w:val="en-US"/>
        </w:rPr>
        <w:t xml:space="preserve"> (CMSD), </w:t>
      </w:r>
      <w:r w:rsidR="00EB3B08">
        <w:rPr>
          <w:rFonts w:ascii="Arial" w:hAnsi="Arial" w:cs="Arial"/>
          <w:bCs/>
          <w:sz w:val="20"/>
          <w:szCs w:val="20"/>
          <w:lang w:val="en-US"/>
        </w:rPr>
        <w:t xml:space="preserve">as well as </w:t>
      </w:r>
      <w:r w:rsidR="002F1457" w:rsidRPr="002F1457">
        <w:rPr>
          <w:rFonts w:ascii="Arial" w:hAnsi="Arial" w:cs="Arial"/>
          <w:bCs/>
          <w:sz w:val="20"/>
          <w:szCs w:val="20"/>
          <w:lang w:val="en-US"/>
        </w:rPr>
        <w:t xml:space="preserve">district level warehouses and Upazila Stores at all districts and </w:t>
      </w:r>
      <w:r w:rsidR="002F1457">
        <w:rPr>
          <w:rFonts w:ascii="Arial" w:hAnsi="Arial" w:cs="Arial"/>
          <w:bCs/>
          <w:sz w:val="20"/>
          <w:szCs w:val="20"/>
          <w:lang w:val="en-US"/>
        </w:rPr>
        <w:t>u</w:t>
      </w:r>
      <w:r w:rsidR="002F1457" w:rsidRPr="002F1457">
        <w:rPr>
          <w:rFonts w:ascii="Arial" w:hAnsi="Arial" w:cs="Arial"/>
          <w:bCs/>
          <w:sz w:val="20"/>
          <w:szCs w:val="20"/>
          <w:lang w:val="en-US"/>
        </w:rPr>
        <w:t xml:space="preserve">pazilas. These warehouses are designed to store drugs and other medical and health products with compliance to good storage practices, including proper ventilation and air-conditioning, with trained staffs and appropriate security measures. An SOP for health product management is in place and </w:t>
      </w:r>
      <w:r w:rsidR="00A63136">
        <w:rPr>
          <w:rFonts w:ascii="Arial" w:hAnsi="Arial" w:cs="Arial"/>
          <w:bCs/>
          <w:sz w:val="20"/>
          <w:szCs w:val="20"/>
          <w:lang w:val="en-US"/>
        </w:rPr>
        <w:t xml:space="preserve">is </w:t>
      </w:r>
      <w:r w:rsidR="002F1457" w:rsidRPr="002F1457">
        <w:rPr>
          <w:rFonts w:ascii="Arial" w:hAnsi="Arial" w:cs="Arial"/>
          <w:bCs/>
          <w:sz w:val="20"/>
          <w:szCs w:val="20"/>
          <w:lang w:val="en-US"/>
        </w:rPr>
        <w:t>followed [</w:t>
      </w:r>
      <w:r w:rsidR="002F1457">
        <w:rPr>
          <w:rFonts w:ascii="Arial" w:hAnsi="Arial" w:cs="Arial"/>
          <w:bCs/>
          <w:sz w:val="20"/>
          <w:szCs w:val="20"/>
          <w:lang w:val="en-US"/>
        </w:rPr>
        <w:t xml:space="preserve">see </w:t>
      </w:r>
      <w:r w:rsidR="002F1457" w:rsidRPr="002F1457">
        <w:rPr>
          <w:rFonts w:ascii="Arial" w:hAnsi="Arial" w:cs="Arial"/>
          <w:bCs/>
          <w:sz w:val="20"/>
          <w:szCs w:val="20"/>
          <w:lang w:val="en-US"/>
        </w:rPr>
        <w:t>SOP</w:t>
      </w:r>
      <w:r w:rsidR="002F1457">
        <w:rPr>
          <w:rFonts w:ascii="Arial" w:hAnsi="Arial" w:cs="Arial"/>
          <w:bCs/>
          <w:sz w:val="20"/>
          <w:szCs w:val="20"/>
          <w:lang w:val="en-US"/>
        </w:rPr>
        <w:t>s</w:t>
      </w:r>
      <w:r w:rsidR="002F1457" w:rsidRPr="002F1457">
        <w:rPr>
          <w:rFonts w:ascii="Arial" w:hAnsi="Arial" w:cs="Arial"/>
          <w:bCs/>
          <w:sz w:val="20"/>
          <w:szCs w:val="20"/>
          <w:lang w:val="en-US"/>
        </w:rPr>
        <w:t xml:space="preserve"> for managing drugs and supplies for malaria control </w:t>
      </w:r>
      <w:r w:rsidR="002F1457">
        <w:rPr>
          <w:rFonts w:ascii="Arial" w:hAnsi="Arial" w:cs="Arial"/>
          <w:bCs/>
          <w:sz w:val="20"/>
          <w:szCs w:val="20"/>
          <w:lang w:val="en-US"/>
        </w:rPr>
        <w:t xml:space="preserve">- </w:t>
      </w:r>
      <w:r w:rsidR="002F1457" w:rsidRPr="002F1457">
        <w:rPr>
          <w:rFonts w:ascii="Arial" w:hAnsi="Arial" w:cs="Arial"/>
          <w:bCs/>
          <w:sz w:val="20"/>
          <w:szCs w:val="20"/>
          <w:lang w:val="en-US"/>
        </w:rPr>
        <w:t xml:space="preserve">Annex </w:t>
      </w:r>
      <w:r w:rsidR="003A3EFD" w:rsidRPr="003A3EFD">
        <w:rPr>
          <w:rFonts w:ascii="Arial" w:hAnsi="Arial" w:cs="Arial"/>
          <w:bCs/>
          <w:sz w:val="20"/>
          <w:szCs w:val="20"/>
          <w:highlight w:val="yellow"/>
          <w:lang w:val="en-US"/>
        </w:rPr>
        <w:t>X</w:t>
      </w:r>
      <w:r w:rsidR="002F1457" w:rsidRPr="002F1457">
        <w:rPr>
          <w:rFonts w:ascii="Arial" w:hAnsi="Arial" w:cs="Arial"/>
          <w:bCs/>
          <w:sz w:val="20"/>
          <w:szCs w:val="20"/>
          <w:lang w:val="en-US"/>
        </w:rPr>
        <w:t xml:space="preserve">]. Stock registers are maintained at all store facilities. Central and local level coordination is maintained to anticipate stock outs and </w:t>
      </w:r>
      <w:r w:rsidR="00EB3B08">
        <w:rPr>
          <w:rFonts w:ascii="Arial" w:hAnsi="Arial" w:cs="Arial"/>
          <w:bCs/>
          <w:sz w:val="20"/>
          <w:szCs w:val="20"/>
          <w:lang w:val="en-US"/>
        </w:rPr>
        <w:t xml:space="preserve">manage responsive </w:t>
      </w:r>
      <w:r w:rsidR="002F1457" w:rsidRPr="002F1457">
        <w:rPr>
          <w:rFonts w:ascii="Arial" w:hAnsi="Arial" w:cs="Arial"/>
          <w:bCs/>
          <w:sz w:val="20"/>
          <w:szCs w:val="20"/>
          <w:lang w:val="en-US"/>
        </w:rPr>
        <w:t>redistribution of goods. A web</w:t>
      </w:r>
      <w:r w:rsidR="00A63136">
        <w:rPr>
          <w:rFonts w:ascii="Arial" w:hAnsi="Arial" w:cs="Arial"/>
          <w:bCs/>
          <w:sz w:val="20"/>
          <w:szCs w:val="20"/>
          <w:lang w:val="en-US"/>
        </w:rPr>
        <w:t xml:space="preserve"> based LMIS has been introduced, which aims to track</w:t>
      </w:r>
      <w:r w:rsidR="00EB3B08">
        <w:rPr>
          <w:rFonts w:ascii="Arial" w:hAnsi="Arial" w:cs="Arial"/>
          <w:bCs/>
          <w:sz w:val="20"/>
          <w:szCs w:val="20"/>
          <w:lang w:val="en-US"/>
        </w:rPr>
        <w:t xml:space="preserve">the </w:t>
      </w:r>
      <w:r w:rsidR="002F1457" w:rsidRPr="002F1457">
        <w:rPr>
          <w:rFonts w:ascii="Arial" w:hAnsi="Arial" w:cs="Arial"/>
          <w:bCs/>
          <w:sz w:val="20"/>
          <w:szCs w:val="20"/>
          <w:lang w:val="en-US"/>
        </w:rPr>
        <w:t xml:space="preserve">stock status of health products. </w:t>
      </w:r>
    </w:p>
    <w:p w:rsidR="00A63136" w:rsidRDefault="00A63136" w:rsidP="00D00953">
      <w:pPr>
        <w:spacing w:after="120" w:line="240" w:lineRule="auto"/>
        <w:rPr>
          <w:rFonts w:ascii="Arial" w:hAnsi="Arial" w:cs="Arial"/>
          <w:bCs/>
          <w:sz w:val="20"/>
          <w:szCs w:val="20"/>
          <w:lang w:val="en-US"/>
        </w:rPr>
      </w:pPr>
      <w:r w:rsidRPr="00A63136">
        <w:rPr>
          <w:rFonts w:ascii="Arial" w:hAnsi="Arial" w:cs="Arial"/>
          <w:bCs/>
          <w:sz w:val="20"/>
          <w:szCs w:val="20"/>
          <w:lang w:val="en-US"/>
        </w:rPr>
        <w:t>Samples of pharmaceutical products will be collected from all levels in the supply chain and sent to a WHO qualified laboratory for testing. Bio-assay test</w:t>
      </w:r>
      <w:r>
        <w:rPr>
          <w:rFonts w:ascii="Arial" w:hAnsi="Arial" w:cs="Arial"/>
          <w:bCs/>
          <w:sz w:val="20"/>
          <w:szCs w:val="20"/>
          <w:lang w:val="en-US"/>
        </w:rPr>
        <w:t>s</w:t>
      </w:r>
      <w:r w:rsidR="00EB3B08">
        <w:rPr>
          <w:rFonts w:ascii="Arial" w:hAnsi="Arial" w:cs="Arial"/>
          <w:bCs/>
          <w:sz w:val="20"/>
          <w:szCs w:val="20"/>
          <w:lang w:val="en-US"/>
        </w:rPr>
        <w:t>on</w:t>
      </w:r>
      <w:r w:rsidRPr="00A63136">
        <w:rPr>
          <w:rFonts w:ascii="Arial" w:hAnsi="Arial" w:cs="Arial"/>
          <w:bCs/>
          <w:sz w:val="20"/>
          <w:szCs w:val="20"/>
          <w:lang w:val="en-US"/>
        </w:rPr>
        <w:t xml:space="preserve"> LLINs will be </w:t>
      </w:r>
      <w:r w:rsidR="00EB3B08">
        <w:rPr>
          <w:rFonts w:ascii="Arial" w:hAnsi="Arial" w:cs="Arial"/>
          <w:bCs/>
          <w:sz w:val="20"/>
          <w:szCs w:val="20"/>
          <w:lang w:val="en-US"/>
        </w:rPr>
        <w:t>carried-out</w:t>
      </w:r>
      <w:r w:rsidRPr="00A63136">
        <w:rPr>
          <w:rFonts w:ascii="Arial" w:hAnsi="Arial" w:cs="Arial"/>
          <w:bCs/>
          <w:sz w:val="20"/>
          <w:szCs w:val="20"/>
          <w:lang w:val="en-US"/>
        </w:rPr>
        <w:t xml:space="preserve"> by the entomology unit of CDC with support from WHO.</w:t>
      </w:r>
    </w:p>
    <w:p w:rsidR="00FE411C" w:rsidRPr="00D00953" w:rsidRDefault="00D00953" w:rsidP="00D00953">
      <w:pPr>
        <w:spacing w:after="120" w:line="240" w:lineRule="auto"/>
        <w:rPr>
          <w:rFonts w:ascii="Arial" w:eastAsia="Times New Roman" w:hAnsi="Arial" w:cs="Arial"/>
          <w:sz w:val="20"/>
          <w:szCs w:val="20"/>
        </w:rPr>
      </w:pPr>
      <w:r w:rsidRPr="001361C6">
        <w:rPr>
          <w:rFonts w:ascii="Arial" w:eastAsia="Times New Roman" w:hAnsi="Arial" w:cs="Arial"/>
          <w:sz w:val="20"/>
          <w:szCs w:val="20"/>
        </w:rPr>
        <w:t>As in recent years, the procurement of LLINs will be through GF’s Voluntary Pooled Procurement (VPP) mechanism.</w:t>
      </w:r>
      <w:r w:rsidR="00FC2534">
        <w:rPr>
          <w:rFonts w:ascii="Arial" w:hAnsi="Arial" w:cs="Arial"/>
          <w:bCs/>
          <w:sz w:val="20"/>
          <w:szCs w:val="20"/>
          <w:lang w:val="en-US"/>
        </w:rPr>
        <w:t>This system meets the minimum standards prescribed by GF.</w:t>
      </w:r>
      <w:r w:rsidR="00FE411C" w:rsidRPr="001361C6">
        <w:rPr>
          <w:rFonts w:ascii="Arial" w:hAnsi="Arial" w:cs="Arial"/>
          <w:sz w:val="20"/>
          <w:szCs w:val="20"/>
          <w:lang w:val="en-US"/>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3531"/>
        <w:gridCol w:w="1352"/>
        <w:gridCol w:w="3045"/>
        <w:gridCol w:w="1290"/>
        <w:gridCol w:w="24"/>
      </w:tblGrid>
      <w:tr w:rsidR="005A62F6" w:rsidRPr="006B7572" w:rsidTr="007201CD">
        <w:trPr>
          <w:trHeight w:val="485"/>
          <w:jc w:val="center"/>
        </w:trPr>
        <w:tc>
          <w:tcPr>
            <w:tcW w:w="9242" w:type="dxa"/>
            <w:gridSpan w:val="5"/>
            <w:shd w:val="clear" w:color="auto" w:fill="C6D9F1"/>
            <w:vAlign w:val="center"/>
          </w:tcPr>
          <w:p w:rsidR="005A62F6" w:rsidRPr="006B7572" w:rsidRDefault="005A62F6" w:rsidP="007C4088">
            <w:pPr>
              <w:spacing w:after="0" w:line="276" w:lineRule="auto"/>
              <w:rPr>
                <w:rFonts w:ascii="Arial" w:eastAsia="Calibri" w:hAnsi="Arial" w:cs="Arial"/>
                <w:sz w:val="20"/>
                <w:szCs w:val="20"/>
                <w:lang w:val="en-US"/>
              </w:rPr>
            </w:pPr>
            <w:r w:rsidRPr="006B7572">
              <w:rPr>
                <w:rFonts w:ascii="Arial" w:eastAsia="Calibri" w:hAnsi="Arial" w:cs="Arial"/>
                <w:b/>
                <w:bCs/>
                <w:sz w:val="20"/>
                <w:szCs w:val="20"/>
                <w:lang w:val="en-US"/>
              </w:rPr>
              <w:lastRenderedPageBreak/>
              <w:t>3.2 Key implementation risks</w:t>
            </w:r>
          </w:p>
        </w:tc>
      </w:tr>
      <w:tr w:rsidR="005A62F6" w:rsidRPr="006B7572" w:rsidTr="007201CD">
        <w:trPr>
          <w:trHeight w:val="1824"/>
          <w:jc w:val="center"/>
        </w:trPr>
        <w:tc>
          <w:tcPr>
            <w:tcW w:w="9242" w:type="dxa"/>
            <w:gridSpan w:val="5"/>
            <w:shd w:val="clear" w:color="auto" w:fill="F2F2F2" w:themeFill="background1" w:themeFillShade="F2"/>
            <w:vAlign w:val="center"/>
          </w:tcPr>
          <w:p w:rsidR="00FE411C" w:rsidRPr="006B7572" w:rsidRDefault="00C77493" w:rsidP="00C43F4F">
            <w:pPr>
              <w:spacing w:line="256" w:lineRule="auto"/>
              <w:contextualSpacing/>
              <w:jc w:val="both"/>
              <w:rPr>
                <w:rFonts w:ascii="Arial" w:hAnsi="Arial" w:cs="Arial"/>
                <w:sz w:val="20"/>
                <w:szCs w:val="20"/>
              </w:rPr>
            </w:pPr>
            <w:r w:rsidRPr="006B7572">
              <w:rPr>
                <w:rFonts w:ascii="Arial" w:eastAsia="Calibri" w:hAnsi="Arial" w:cs="Arial"/>
                <w:sz w:val="20"/>
                <w:szCs w:val="20"/>
              </w:rPr>
              <w:t xml:space="preserve">Using the table below, </w:t>
            </w:r>
            <w:r w:rsidR="00C43F4F" w:rsidRPr="006B7572">
              <w:rPr>
                <w:rFonts w:ascii="Arial" w:eastAsia="Calibri" w:hAnsi="Arial" w:cs="Arial"/>
                <w:sz w:val="20"/>
                <w:szCs w:val="20"/>
                <w:lang w:val="en-US"/>
              </w:rPr>
              <w:t xml:space="preserve">outline key risks foreseen, including those that were provided in the </w:t>
            </w:r>
            <w:r w:rsidR="00C43F4F" w:rsidRPr="00096485">
              <w:rPr>
                <w:rFonts w:ascii="Arial" w:eastAsia="Calibri" w:hAnsi="Arial" w:cs="Arial"/>
                <w:i/>
                <w:sz w:val="20"/>
                <w:szCs w:val="20"/>
                <w:lang w:val="en-US"/>
              </w:rPr>
              <w:t>Key Program Risks</w:t>
            </w:r>
            <w:r w:rsidR="00C43F4F" w:rsidRPr="00096485">
              <w:rPr>
                <w:rFonts w:ascii="Arial" w:eastAsia="Calibri" w:hAnsi="Arial" w:cs="Arial"/>
                <w:sz w:val="20"/>
                <w:szCs w:val="20"/>
                <w:lang w:val="en-US"/>
              </w:rPr>
              <w:t xml:space="preserve"> table shared by the Global Fund during the Country Dialogue process</w:t>
            </w:r>
            <w:r w:rsidR="00C43F4F" w:rsidRPr="006B7572">
              <w:rPr>
                <w:rFonts w:ascii="Arial" w:eastAsia="Calibri" w:hAnsi="Arial" w:cs="Arial"/>
                <w:sz w:val="20"/>
                <w:szCs w:val="20"/>
                <w:lang w:val="en-US"/>
              </w:rPr>
              <w:t>.</w:t>
            </w:r>
            <w:r w:rsidR="00C43F4F" w:rsidRPr="006B7572">
              <w:rPr>
                <w:rFonts w:ascii="Arial" w:eastAsia="Calibri" w:hAnsi="Arial" w:cs="Arial"/>
                <w:sz w:val="20"/>
                <w:szCs w:val="20"/>
              </w:rPr>
              <w:t xml:space="preserve"> You can also add </w:t>
            </w:r>
            <w:r w:rsidRPr="006B7572">
              <w:rPr>
                <w:rFonts w:ascii="Arial" w:eastAsia="Calibri" w:hAnsi="Arial" w:cs="Arial"/>
                <w:sz w:val="20"/>
                <w:szCs w:val="20"/>
              </w:rPr>
              <w:t>key operational and implementation risks, which you identified as outstanding over the previous implementation period, and the specific mitigation measures planned to address each of these challenges/risks to ensure effective program pe</w:t>
            </w:r>
            <w:r w:rsidR="00C43F4F" w:rsidRPr="006B7572">
              <w:rPr>
                <w:rFonts w:ascii="Arial" w:eastAsia="Calibri" w:hAnsi="Arial" w:cs="Arial"/>
                <w:sz w:val="20"/>
                <w:szCs w:val="20"/>
              </w:rPr>
              <w:t>rformance in the given context.</w:t>
            </w:r>
          </w:p>
          <w:p w:rsidR="00FE411C" w:rsidRPr="006B7572" w:rsidRDefault="00FE411C" w:rsidP="00C43F4F">
            <w:pPr>
              <w:spacing w:line="256" w:lineRule="auto"/>
              <w:contextualSpacing/>
              <w:jc w:val="both"/>
              <w:rPr>
                <w:rFonts w:ascii="Arial" w:hAnsi="Arial" w:cs="Arial"/>
                <w:sz w:val="20"/>
                <w:szCs w:val="20"/>
              </w:rPr>
            </w:pPr>
          </w:p>
          <w:p w:rsidR="005A62F6" w:rsidRPr="006B7572" w:rsidRDefault="00FE411C" w:rsidP="00C43F4F">
            <w:pPr>
              <w:spacing w:line="256" w:lineRule="auto"/>
              <w:contextualSpacing/>
              <w:jc w:val="both"/>
              <w:rPr>
                <w:rFonts w:ascii="Arial" w:eastAsia="Calibri" w:hAnsi="Arial" w:cs="Arial"/>
                <w:sz w:val="20"/>
                <w:szCs w:val="20"/>
                <w:lang w:val="en-US"/>
              </w:rPr>
            </w:pPr>
            <w:r w:rsidRPr="006B7572">
              <w:rPr>
                <w:rFonts w:ascii="Arial" w:hAnsi="Arial" w:cs="Arial"/>
                <w:sz w:val="20"/>
                <w:szCs w:val="20"/>
              </w:rPr>
              <w:t>Applicant response in table below</w:t>
            </w:r>
            <w:r w:rsidR="004F6A73">
              <w:rPr>
                <w:rFonts w:ascii="Arial" w:hAnsi="Arial" w:cs="Arial"/>
                <w:sz w:val="20"/>
                <w:szCs w:val="20"/>
              </w:rPr>
              <w:t>.</w:t>
            </w:r>
          </w:p>
        </w:tc>
      </w:tr>
      <w:tr w:rsidR="00A5131D" w:rsidRPr="006B7572" w:rsidTr="007201CD">
        <w:trPr>
          <w:gridAfter w:val="1"/>
          <w:wAfter w:w="24" w:type="dxa"/>
          <w:trHeight w:val="470"/>
          <w:jc w:val="center"/>
        </w:trPr>
        <w:tc>
          <w:tcPr>
            <w:tcW w:w="3531" w:type="dxa"/>
            <w:shd w:val="clear" w:color="auto" w:fill="C6D9F1"/>
            <w:vAlign w:val="center"/>
          </w:tcPr>
          <w:p w:rsidR="00827D9E" w:rsidRPr="006B7572" w:rsidRDefault="00A5131D" w:rsidP="005638BC">
            <w:pPr>
              <w:spacing w:after="0" w:line="276" w:lineRule="auto"/>
              <w:jc w:val="center"/>
              <w:rPr>
                <w:rFonts w:ascii="Arial" w:eastAsia="Calibri" w:hAnsi="Arial" w:cs="Arial"/>
                <w:b/>
                <w:iCs/>
                <w:sz w:val="20"/>
                <w:szCs w:val="20"/>
                <w:lang w:val="en-US"/>
              </w:rPr>
            </w:pPr>
            <w:r w:rsidRPr="006B7572">
              <w:rPr>
                <w:rFonts w:ascii="Arial" w:eastAsia="Calibri" w:hAnsi="Arial" w:cs="Arial"/>
                <w:b/>
                <w:iCs/>
                <w:sz w:val="20"/>
                <w:szCs w:val="20"/>
                <w:lang w:val="en-US"/>
              </w:rPr>
              <w:t>Risk Category</w:t>
            </w:r>
          </w:p>
          <w:p w:rsidR="00A5131D" w:rsidRPr="006B7572" w:rsidRDefault="00A5131D" w:rsidP="005638BC">
            <w:pPr>
              <w:spacing w:after="0" w:line="276" w:lineRule="auto"/>
              <w:jc w:val="center"/>
              <w:rPr>
                <w:rFonts w:ascii="Arial" w:eastAsia="Calibri" w:hAnsi="Arial" w:cs="Arial"/>
                <w:b/>
                <w:iCs/>
                <w:sz w:val="20"/>
                <w:szCs w:val="20"/>
                <w:lang w:val="en-US"/>
              </w:rPr>
            </w:pPr>
            <w:r w:rsidRPr="006B7572">
              <w:rPr>
                <w:rFonts w:ascii="Arial" w:eastAsia="Calibri" w:hAnsi="Arial" w:cs="Arial"/>
                <w:b/>
                <w:iCs/>
                <w:sz w:val="20"/>
                <w:szCs w:val="20"/>
                <w:lang w:val="en-US"/>
              </w:rPr>
              <w:t>(Functional area)</w:t>
            </w:r>
          </w:p>
        </w:tc>
        <w:tc>
          <w:tcPr>
            <w:tcW w:w="1352" w:type="dxa"/>
            <w:shd w:val="clear" w:color="auto" w:fill="C6D9F1"/>
            <w:vAlign w:val="center"/>
          </w:tcPr>
          <w:p w:rsidR="00A5131D" w:rsidRPr="006B7572" w:rsidRDefault="00A5131D" w:rsidP="005638BC">
            <w:pPr>
              <w:spacing w:after="0" w:line="276" w:lineRule="auto"/>
              <w:jc w:val="center"/>
              <w:rPr>
                <w:rFonts w:ascii="Arial" w:eastAsia="Calibri" w:hAnsi="Arial" w:cs="Arial"/>
                <w:b/>
                <w:iCs/>
                <w:sz w:val="20"/>
                <w:szCs w:val="20"/>
                <w:lang w:val="en-US"/>
              </w:rPr>
            </w:pPr>
            <w:r w:rsidRPr="006B7572">
              <w:rPr>
                <w:rFonts w:ascii="Arial" w:eastAsia="Calibri" w:hAnsi="Arial" w:cs="Arial"/>
                <w:b/>
                <w:sz w:val="20"/>
                <w:szCs w:val="20"/>
                <w:lang w:val="en-US"/>
              </w:rPr>
              <w:t>Key Risk</w:t>
            </w:r>
          </w:p>
        </w:tc>
        <w:tc>
          <w:tcPr>
            <w:tcW w:w="3045" w:type="dxa"/>
            <w:shd w:val="clear" w:color="auto" w:fill="C6D9F1"/>
            <w:vAlign w:val="center"/>
          </w:tcPr>
          <w:p w:rsidR="00A5131D" w:rsidRPr="006B7572" w:rsidRDefault="00A5131D" w:rsidP="005638BC">
            <w:pPr>
              <w:spacing w:after="0" w:line="276" w:lineRule="auto"/>
              <w:jc w:val="center"/>
              <w:rPr>
                <w:rFonts w:ascii="Arial" w:eastAsia="Calibri" w:hAnsi="Arial" w:cs="Arial"/>
                <w:b/>
                <w:sz w:val="20"/>
                <w:szCs w:val="20"/>
                <w:lang w:val="en-US"/>
              </w:rPr>
            </w:pPr>
            <w:r w:rsidRPr="006B7572">
              <w:rPr>
                <w:rFonts w:ascii="Arial" w:eastAsia="Calibri" w:hAnsi="Arial" w:cs="Arial"/>
                <w:b/>
                <w:sz w:val="20"/>
                <w:szCs w:val="20"/>
                <w:lang w:val="en-US"/>
              </w:rPr>
              <w:t>Mitigating actions</w:t>
            </w:r>
          </w:p>
        </w:tc>
        <w:tc>
          <w:tcPr>
            <w:tcW w:w="1290" w:type="dxa"/>
            <w:shd w:val="clear" w:color="auto" w:fill="C6D9F1"/>
            <w:vAlign w:val="center"/>
          </w:tcPr>
          <w:p w:rsidR="00594899" w:rsidRPr="006B7572" w:rsidRDefault="00594899" w:rsidP="005638BC">
            <w:pPr>
              <w:spacing w:after="0" w:line="276" w:lineRule="auto"/>
              <w:jc w:val="center"/>
              <w:rPr>
                <w:rFonts w:ascii="Arial" w:eastAsia="Calibri" w:hAnsi="Arial" w:cs="Arial"/>
                <w:b/>
                <w:sz w:val="20"/>
                <w:szCs w:val="20"/>
                <w:lang w:val="en-US"/>
              </w:rPr>
            </w:pPr>
            <w:r w:rsidRPr="006B7572">
              <w:rPr>
                <w:rFonts w:ascii="Arial" w:eastAsia="Calibri" w:hAnsi="Arial" w:cs="Arial"/>
                <w:b/>
                <w:sz w:val="20"/>
                <w:szCs w:val="20"/>
                <w:lang w:val="en-US"/>
              </w:rPr>
              <w:t>Timeline</w:t>
            </w:r>
          </w:p>
        </w:tc>
      </w:tr>
      <w:tr w:rsidR="00A5131D" w:rsidRPr="006B7572" w:rsidTr="007201CD">
        <w:trPr>
          <w:gridAfter w:val="1"/>
          <w:wAfter w:w="24" w:type="dxa"/>
          <w:trHeight w:val="492"/>
          <w:jc w:val="center"/>
        </w:trPr>
        <w:tc>
          <w:tcPr>
            <w:tcW w:w="3531" w:type="dxa"/>
            <w:vAlign w:val="center"/>
          </w:tcPr>
          <w:p w:rsidR="00A5131D" w:rsidRPr="007201CD" w:rsidRDefault="008B77B1" w:rsidP="007205D8">
            <w:pPr>
              <w:numPr>
                <w:ilvl w:val="0"/>
                <w:numId w:val="8"/>
              </w:numPr>
              <w:spacing w:after="0" w:line="276" w:lineRule="auto"/>
              <w:ind w:left="0" w:firstLine="0"/>
              <w:rPr>
                <w:rFonts w:ascii="Arial" w:eastAsia="Calibri" w:hAnsi="Arial" w:cs="Arial"/>
                <w:iCs/>
                <w:color w:val="FF0000"/>
                <w:sz w:val="16"/>
                <w:szCs w:val="16"/>
                <w:lang w:val="en-US"/>
              </w:rPr>
            </w:pPr>
            <w:r w:rsidRPr="007201CD">
              <w:rPr>
                <w:rFonts w:ascii="Arial" w:eastAsia="Calibri" w:hAnsi="Arial" w:cs="Arial"/>
                <w:iCs/>
                <w:color w:val="FF0000"/>
                <w:sz w:val="16"/>
                <w:szCs w:val="16"/>
                <w:lang w:val="en-US"/>
              </w:rPr>
              <w:t xml:space="preserve">Programmatic/monitoring and evaluation risks </w:t>
            </w:r>
          </w:p>
        </w:tc>
        <w:tc>
          <w:tcPr>
            <w:tcW w:w="1352" w:type="dxa"/>
          </w:tcPr>
          <w:p w:rsidR="007201CD" w:rsidRPr="007201CD" w:rsidRDefault="007201CD" w:rsidP="007205D8">
            <w:pPr>
              <w:numPr>
                <w:ilvl w:val="0"/>
                <w:numId w:val="8"/>
              </w:numPr>
              <w:spacing w:after="0" w:line="276" w:lineRule="auto"/>
              <w:ind w:left="13" w:firstLine="0"/>
              <w:rPr>
                <w:rFonts w:ascii="Arial" w:eastAsia="Calibri" w:hAnsi="Arial" w:cs="Arial"/>
                <w:iCs/>
                <w:color w:val="FF0000"/>
                <w:sz w:val="16"/>
                <w:szCs w:val="16"/>
                <w:lang w:val="en-US"/>
              </w:rPr>
            </w:pPr>
            <w:r w:rsidRPr="007201CD">
              <w:rPr>
                <w:rFonts w:ascii="Arial" w:eastAsia="Calibri" w:hAnsi="Arial" w:cs="Arial"/>
                <w:iCs/>
                <w:color w:val="FF0000"/>
                <w:sz w:val="16"/>
                <w:szCs w:val="16"/>
                <w:lang w:val="en-US"/>
              </w:rPr>
              <w:t>(e.g. data quality and program quality, access and promotion of equity and human rights, sustainability, etc.)  </w:t>
            </w:r>
          </w:p>
          <w:p w:rsidR="00A5131D" w:rsidRPr="007201CD" w:rsidRDefault="00A5131D" w:rsidP="007201CD">
            <w:pPr>
              <w:spacing w:after="0" w:line="276" w:lineRule="auto"/>
              <w:ind w:left="13"/>
              <w:rPr>
                <w:rFonts w:ascii="Arial" w:eastAsia="Calibri" w:hAnsi="Arial" w:cs="Arial"/>
                <w:iCs/>
                <w:color w:val="FF0000"/>
                <w:sz w:val="16"/>
                <w:szCs w:val="16"/>
                <w:lang w:val="en-US"/>
              </w:rPr>
            </w:pPr>
          </w:p>
        </w:tc>
        <w:tc>
          <w:tcPr>
            <w:tcW w:w="3045" w:type="dxa"/>
          </w:tcPr>
          <w:p w:rsidR="007201CD" w:rsidRPr="007201CD" w:rsidRDefault="007201CD" w:rsidP="007205D8">
            <w:pPr>
              <w:numPr>
                <w:ilvl w:val="0"/>
                <w:numId w:val="8"/>
              </w:numPr>
              <w:spacing w:after="0" w:line="276" w:lineRule="auto"/>
              <w:ind w:left="0" w:firstLine="0"/>
              <w:rPr>
                <w:rFonts w:ascii="Arial" w:eastAsia="Calibri" w:hAnsi="Arial" w:cs="Arial"/>
                <w:iCs/>
                <w:color w:val="FF0000"/>
                <w:sz w:val="16"/>
                <w:szCs w:val="16"/>
                <w:lang w:val="en-US"/>
              </w:rPr>
            </w:pPr>
            <w:r w:rsidRPr="007201CD">
              <w:rPr>
                <w:rFonts w:ascii="Arial" w:eastAsia="Calibri" w:hAnsi="Arial" w:cs="Arial"/>
                <w:iCs/>
                <w:color w:val="FF0000"/>
                <w:sz w:val="16"/>
                <w:szCs w:val="16"/>
                <w:lang w:val="en-US"/>
              </w:rPr>
              <w:t>Funding for technical assistance that is being requested to strengthen implementation capacity could also be mentioned in this section.  </w:t>
            </w:r>
          </w:p>
          <w:p w:rsidR="00A5131D" w:rsidRPr="007201CD" w:rsidRDefault="00A5131D" w:rsidP="007201CD">
            <w:pPr>
              <w:spacing w:after="0" w:line="276" w:lineRule="auto"/>
              <w:rPr>
                <w:rFonts w:ascii="Arial" w:eastAsia="Calibri" w:hAnsi="Arial" w:cs="Arial"/>
                <w:iCs/>
                <w:color w:val="FF0000"/>
                <w:sz w:val="16"/>
                <w:szCs w:val="16"/>
                <w:lang w:val="en-US"/>
              </w:rPr>
            </w:pPr>
          </w:p>
        </w:tc>
        <w:tc>
          <w:tcPr>
            <w:tcW w:w="1290" w:type="dxa"/>
          </w:tcPr>
          <w:p w:rsidR="00594899" w:rsidRPr="007201CD" w:rsidRDefault="00594899" w:rsidP="007201CD">
            <w:pPr>
              <w:spacing w:after="0" w:line="276" w:lineRule="auto"/>
              <w:rPr>
                <w:rFonts w:ascii="Arial" w:eastAsia="Calibri" w:hAnsi="Arial" w:cs="Arial"/>
                <w:iCs/>
                <w:color w:val="FF0000"/>
                <w:sz w:val="16"/>
                <w:szCs w:val="16"/>
                <w:lang w:val="en-US"/>
              </w:rPr>
            </w:pPr>
          </w:p>
        </w:tc>
      </w:tr>
      <w:tr w:rsidR="008B77B1" w:rsidRPr="006B7572" w:rsidTr="007201CD">
        <w:trPr>
          <w:gridAfter w:val="1"/>
          <w:wAfter w:w="24" w:type="dxa"/>
          <w:trHeight w:val="556"/>
          <w:jc w:val="center"/>
        </w:trPr>
        <w:tc>
          <w:tcPr>
            <w:tcW w:w="3531" w:type="dxa"/>
            <w:vAlign w:val="center"/>
          </w:tcPr>
          <w:p w:rsidR="008B77B1" w:rsidRPr="007201CD" w:rsidRDefault="007201CD" w:rsidP="007205D8">
            <w:pPr>
              <w:numPr>
                <w:ilvl w:val="0"/>
                <w:numId w:val="8"/>
              </w:numPr>
              <w:spacing w:after="0" w:line="276" w:lineRule="auto"/>
              <w:ind w:left="0" w:firstLine="0"/>
              <w:rPr>
                <w:rFonts w:ascii="Arial" w:eastAsia="Calibri" w:hAnsi="Arial" w:cs="Arial"/>
                <w:bCs/>
                <w:iCs/>
                <w:color w:val="FF0000"/>
                <w:sz w:val="16"/>
                <w:szCs w:val="16"/>
                <w:lang w:val="en-US"/>
              </w:rPr>
            </w:pPr>
            <w:r w:rsidRPr="007201CD">
              <w:rPr>
                <w:rFonts w:ascii="Arial" w:eastAsia="Calibri" w:hAnsi="Arial" w:cs="Arial"/>
                <w:bCs/>
                <w:iCs/>
                <w:color w:val="FF0000"/>
                <w:sz w:val="16"/>
                <w:szCs w:val="16"/>
                <w:lang w:val="en-US"/>
              </w:rPr>
              <w:t>Procurement and supply management risks (e.g. forecasting and quantification,  procurement, storage and distribution, last mile delivery, commodity prices higher  than international prices, etc.)  </w:t>
            </w:r>
          </w:p>
        </w:tc>
        <w:tc>
          <w:tcPr>
            <w:tcW w:w="1352" w:type="dxa"/>
          </w:tcPr>
          <w:p w:rsidR="008B77B1" w:rsidRPr="007201CD" w:rsidRDefault="008B77B1" w:rsidP="007201CD">
            <w:pPr>
              <w:spacing w:after="0" w:line="240" w:lineRule="auto"/>
              <w:ind w:left="13"/>
              <w:rPr>
                <w:rFonts w:ascii="Arial" w:eastAsia="SimSun" w:hAnsi="Arial" w:cs="Arial"/>
                <w:color w:val="FF0000"/>
                <w:sz w:val="16"/>
                <w:szCs w:val="16"/>
                <w:lang w:val="en-US" w:eastAsia="zh-CN"/>
              </w:rPr>
            </w:pPr>
          </w:p>
        </w:tc>
        <w:tc>
          <w:tcPr>
            <w:tcW w:w="3045" w:type="dxa"/>
          </w:tcPr>
          <w:p w:rsidR="008B77B1" w:rsidRPr="007201CD" w:rsidRDefault="008B77B1" w:rsidP="007201CD">
            <w:pPr>
              <w:spacing w:after="0" w:line="240" w:lineRule="auto"/>
              <w:rPr>
                <w:rFonts w:ascii="Arial" w:eastAsia="SimSun" w:hAnsi="Arial" w:cs="Arial"/>
                <w:color w:val="FF0000"/>
                <w:sz w:val="16"/>
                <w:szCs w:val="16"/>
                <w:lang w:val="en-US" w:eastAsia="zh-CN"/>
              </w:rPr>
            </w:pPr>
          </w:p>
        </w:tc>
        <w:tc>
          <w:tcPr>
            <w:tcW w:w="1290" w:type="dxa"/>
          </w:tcPr>
          <w:p w:rsidR="008B77B1" w:rsidRPr="007201CD" w:rsidRDefault="008B77B1" w:rsidP="007201CD">
            <w:pPr>
              <w:spacing w:after="0" w:line="240" w:lineRule="auto"/>
              <w:rPr>
                <w:rFonts w:ascii="Arial" w:eastAsia="SimSun" w:hAnsi="Arial" w:cs="Arial"/>
                <w:color w:val="FF0000"/>
                <w:sz w:val="16"/>
                <w:szCs w:val="16"/>
                <w:lang w:val="en-US" w:eastAsia="zh-CN"/>
              </w:rPr>
            </w:pPr>
          </w:p>
        </w:tc>
      </w:tr>
      <w:tr w:rsidR="008B77B1" w:rsidRPr="006B7572" w:rsidTr="007201CD">
        <w:trPr>
          <w:gridAfter w:val="1"/>
          <w:wAfter w:w="24" w:type="dxa"/>
          <w:trHeight w:val="556"/>
          <w:jc w:val="center"/>
        </w:trPr>
        <w:tc>
          <w:tcPr>
            <w:tcW w:w="3531" w:type="dxa"/>
            <w:vAlign w:val="center"/>
          </w:tcPr>
          <w:p w:rsidR="008B77B1" w:rsidRPr="007201CD" w:rsidRDefault="007201CD" w:rsidP="007205D8">
            <w:pPr>
              <w:numPr>
                <w:ilvl w:val="0"/>
                <w:numId w:val="8"/>
              </w:numPr>
              <w:spacing w:after="0" w:line="276" w:lineRule="auto"/>
              <w:ind w:left="0" w:firstLine="0"/>
              <w:rPr>
                <w:rFonts w:ascii="Arial" w:eastAsia="Calibri" w:hAnsi="Arial" w:cs="Arial"/>
                <w:bCs/>
                <w:iCs/>
                <w:color w:val="FF0000"/>
                <w:sz w:val="16"/>
                <w:szCs w:val="16"/>
                <w:lang w:val="en-US"/>
              </w:rPr>
            </w:pPr>
            <w:r w:rsidRPr="007201CD">
              <w:rPr>
                <w:rFonts w:ascii="Arial" w:eastAsia="Calibri" w:hAnsi="Arial" w:cs="Arial"/>
                <w:bCs/>
                <w:iCs/>
                <w:color w:val="FF0000"/>
                <w:sz w:val="16"/>
                <w:szCs w:val="16"/>
                <w:lang w:val="en-US"/>
              </w:rPr>
              <w:t>Financial risks (e.g. risk of fraud, corruption or theft, financial inefficiency, etc.)  </w:t>
            </w:r>
          </w:p>
        </w:tc>
        <w:tc>
          <w:tcPr>
            <w:tcW w:w="1352" w:type="dxa"/>
          </w:tcPr>
          <w:p w:rsidR="008B77B1" w:rsidRPr="007201CD" w:rsidRDefault="008B77B1" w:rsidP="007201CD">
            <w:pPr>
              <w:spacing w:after="0" w:line="240" w:lineRule="auto"/>
              <w:ind w:left="13"/>
              <w:rPr>
                <w:rFonts w:ascii="Arial" w:eastAsia="SimSun" w:hAnsi="Arial" w:cs="Arial"/>
                <w:color w:val="FF0000"/>
                <w:sz w:val="16"/>
                <w:szCs w:val="16"/>
                <w:lang w:val="en-US" w:eastAsia="zh-CN"/>
              </w:rPr>
            </w:pPr>
          </w:p>
        </w:tc>
        <w:tc>
          <w:tcPr>
            <w:tcW w:w="3045" w:type="dxa"/>
          </w:tcPr>
          <w:p w:rsidR="008B77B1" w:rsidRPr="007201CD" w:rsidRDefault="008B77B1" w:rsidP="007201CD">
            <w:pPr>
              <w:spacing w:after="0" w:line="240" w:lineRule="auto"/>
              <w:rPr>
                <w:rFonts w:ascii="Arial" w:eastAsia="SimSun" w:hAnsi="Arial" w:cs="Arial"/>
                <w:color w:val="FF0000"/>
                <w:sz w:val="16"/>
                <w:szCs w:val="16"/>
                <w:lang w:val="en-US" w:eastAsia="zh-CN"/>
              </w:rPr>
            </w:pPr>
          </w:p>
        </w:tc>
        <w:tc>
          <w:tcPr>
            <w:tcW w:w="1290" w:type="dxa"/>
          </w:tcPr>
          <w:p w:rsidR="008B77B1" w:rsidRPr="007201CD" w:rsidRDefault="008B77B1" w:rsidP="007201CD">
            <w:pPr>
              <w:spacing w:after="0" w:line="240" w:lineRule="auto"/>
              <w:rPr>
                <w:rFonts w:ascii="Arial" w:eastAsia="SimSun" w:hAnsi="Arial" w:cs="Arial"/>
                <w:color w:val="FF0000"/>
                <w:sz w:val="16"/>
                <w:szCs w:val="16"/>
                <w:lang w:val="en-US" w:eastAsia="zh-CN"/>
              </w:rPr>
            </w:pPr>
          </w:p>
        </w:tc>
      </w:tr>
      <w:tr w:rsidR="008B77B1" w:rsidRPr="006B7572" w:rsidTr="007201CD">
        <w:trPr>
          <w:gridAfter w:val="1"/>
          <w:wAfter w:w="24" w:type="dxa"/>
          <w:trHeight w:val="556"/>
          <w:jc w:val="center"/>
        </w:trPr>
        <w:tc>
          <w:tcPr>
            <w:tcW w:w="3531" w:type="dxa"/>
            <w:vAlign w:val="center"/>
          </w:tcPr>
          <w:p w:rsidR="008B77B1" w:rsidRPr="007201CD" w:rsidRDefault="007201CD" w:rsidP="007205D8">
            <w:pPr>
              <w:numPr>
                <w:ilvl w:val="0"/>
                <w:numId w:val="8"/>
              </w:numPr>
              <w:spacing w:after="0" w:line="276" w:lineRule="auto"/>
              <w:ind w:left="0" w:firstLine="0"/>
              <w:rPr>
                <w:rFonts w:ascii="Arial" w:eastAsia="Calibri" w:hAnsi="Arial" w:cs="Arial"/>
                <w:bCs/>
                <w:iCs/>
                <w:color w:val="FF0000"/>
                <w:sz w:val="16"/>
                <w:szCs w:val="16"/>
                <w:lang w:val="en-US"/>
              </w:rPr>
            </w:pPr>
            <w:r w:rsidRPr="007201CD">
              <w:rPr>
                <w:rFonts w:ascii="Arial" w:eastAsia="Calibri" w:hAnsi="Arial" w:cs="Arial"/>
                <w:bCs/>
                <w:iCs/>
                <w:color w:val="FF0000"/>
                <w:sz w:val="16"/>
                <w:szCs w:val="16"/>
                <w:lang w:val="en-US"/>
              </w:rPr>
              <w:t>Governance and program management risks (e.g. CCM coordination and oversight  of programs, PR coordination with national entities and partners, PR performance and/or oversight of sub-recipients, meaningful involvement of communities, etc.)  </w:t>
            </w:r>
          </w:p>
        </w:tc>
        <w:tc>
          <w:tcPr>
            <w:tcW w:w="1352" w:type="dxa"/>
          </w:tcPr>
          <w:p w:rsidR="008B77B1" w:rsidRPr="007201CD" w:rsidRDefault="008B77B1" w:rsidP="007201CD">
            <w:pPr>
              <w:spacing w:after="0" w:line="240" w:lineRule="auto"/>
              <w:ind w:left="13"/>
              <w:rPr>
                <w:rFonts w:ascii="Arial" w:eastAsia="SimSun" w:hAnsi="Arial" w:cs="Arial"/>
                <w:color w:val="FF0000"/>
                <w:sz w:val="16"/>
                <w:szCs w:val="16"/>
                <w:lang w:val="en-US" w:eastAsia="zh-CN"/>
              </w:rPr>
            </w:pPr>
          </w:p>
        </w:tc>
        <w:tc>
          <w:tcPr>
            <w:tcW w:w="3045" w:type="dxa"/>
          </w:tcPr>
          <w:p w:rsidR="008B77B1" w:rsidRPr="007201CD" w:rsidRDefault="008B77B1" w:rsidP="007201CD">
            <w:pPr>
              <w:spacing w:after="0" w:line="240" w:lineRule="auto"/>
              <w:rPr>
                <w:rFonts w:ascii="Arial" w:eastAsia="SimSun" w:hAnsi="Arial" w:cs="Arial"/>
                <w:color w:val="FF0000"/>
                <w:sz w:val="16"/>
                <w:szCs w:val="16"/>
                <w:lang w:val="en-US" w:eastAsia="zh-CN"/>
              </w:rPr>
            </w:pPr>
          </w:p>
        </w:tc>
        <w:tc>
          <w:tcPr>
            <w:tcW w:w="1290" w:type="dxa"/>
          </w:tcPr>
          <w:p w:rsidR="008B77B1" w:rsidRPr="007201CD" w:rsidRDefault="008B77B1" w:rsidP="007201CD">
            <w:pPr>
              <w:spacing w:after="0" w:line="240" w:lineRule="auto"/>
              <w:rPr>
                <w:rFonts w:ascii="Arial" w:eastAsia="SimSun" w:hAnsi="Arial" w:cs="Arial"/>
                <w:color w:val="FF0000"/>
                <w:sz w:val="16"/>
                <w:szCs w:val="16"/>
                <w:lang w:val="en-US" w:eastAsia="zh-CN"/>
              </w:rPr>
            </w:pPr>
          </w:p>
        </w:tc>
      </w:tr>
      <w:tr w:rsidR="008B77B1" w:rsidRPr="006B7572" w:rsidTr="007201CD">
        <w:trPr>
          <w:gridAfter w:val="1"/>
          <w:wAfter w:w="24" w:type="dxa"/>
          <w:trHeight w:val="556"/>
          <w:jc w:val="center"/>
        </w:trPr>
        <w:tc>
          <w:tcPr>
            <w:tcW w:w="3531" w:type="dxa"/>
            <w:vAlign w:val="center"/>
          </w:tcPr>
          <w:p w:rsidR="008B77B1" w:rsidRPr="007201CD" w:rsidRDefault="007201CD" w:rsidP="007205D8">
            <w:pPr>
              <w:numPr>
                <w:ilvl w:val="0"/>
                <w:numId w:val="8"/>
              </w:numPr>
              <w:spacing w:after="0" w:line="276" w:lineRule="auto"/>
              <w:ind w:left="0" w:firstLine="0"/>
              <w:rPr>
                <w:rFonts w:ascii="Arial" w:eastAsia="Calibri" w:hAnsi="Arial" w:cs="Arial"/>
                <w:bCs/>
                <w:iCs/>
                <w:color w:val="FF0000"/>
                <w:sz w:val="16"/>
                <w:szCs w:val="16"/>
                <w:lang w:val="en-US"/>
              </w:rPr>
            </w:pPr>
            <w:r w:rsidRPr="007201CD">
              <w:rPr>
                <w:rFonts w:ascii="Arial" w:eastAsia="Calibri" w:hAnsi="Arial" w:cs="Arial"/>
                <w:bCs/>
                <w:iCs/>
                <w:color w:val="FF0000"/>
                <w:sz w:val="16"/>
                <w:szCs w:val="16"/>
                <w:lang w:val="en-US"/>
              </w:rPr>
              <w:t>Macroeconomic factors, including unexpected rises in commodity prices, inflation and average exchange rate in relation to local market currencies;  </w:t>
            </w:r>
          </w:p>
        </w:tc>
        <w:tc>
          <w:tcPr>
            <w:tcW w:w="1352" w:type="dxa"/>
          </w:tcPr>
          <w:p w:rsidR="008B77B1" w:rsidRPr="007201CD" w:rsidRDefault="008B77B1" w:rsidP="007201CD">
            <w:pPr>
              <w:spacing w:after="0" w:line="240" w:lineRule="auto"/>
              <w:ind w:left="13"/>
              <w:rPr>
                <w:rFonts w:ascii="Arial" w:eastAsia="SimSun" w:hAnsi="Arial" w:cs="Arial"/>
                <w:color w:val="FF0000"/>
                <w:sz w:val="16"/>
                <w:szCs w:val="16"/>
                <w:lang w:val="en-US" w:eastAsia="zh-CN"/>
              </w:rPr>
            </w:pPr>
          </w:p>
        </w:tc>
        <w:tc>
          <w:tcPr>
            <w:tcW w:w="3045" w:type="dxa"/>
          </w:tcPr>
          <w:p w:rsidR="008B77B1" w:rsidRPr="007201CD" w:rsidRDefault="008B77B1" w:rsidP="007201CD">
            <w:pPr>
              <w:spacing w:after="0" w:line="240" w:lineRule="auto"/>
              <w:rPr>
                <w:rFonts w:ascii="Arial" w:eastAsia="SimSun" w:hAnsi="Arial" w:cs="Arial"/>
                <w:color w:val="FF0000"/>
                <w:sz w:val="16"/>
                <w:szCs w:val="16"/>
                <w:lang w:val="en-US" w:eastAsia="zh-CN"/>
              </w:rPr>
            </w:pPr>
          </w:p>
        </w:tc>
        <w:tc>
          <w:tcPr>
            <w:tcW w:w="1290" w:type="dxa"/>
          </w:tcPr>
          <w:p w:rsidR="008B77B1" w:rsidRPr="007201CD" w:rsidRDefault="008B77B1" w:rsidP="007201CD">
            <w:pPr>
              <w:spacing w:after="0" w:line="240" w:lineRule="auto"/>
              <w:rPr>
                <w:rFonts w:ascii="Arial" w:eastAsia="SimSun" w:hAnsi="Arial" w:cs="Arial"/>
                <w:color w:val="FF0000"/>
                <w:sz w:val="16"/>
                <w:szCs w:val="16"/>
                <w:lang w:val="en-US" w:eastAsia="zh-CN"/>
              </w:rPr>
            </w:pPr>
          </w:p>
        </w:tc>
      </w:tr>
      <w:tr w:rsidR="00A5131D" w:rsidRPr="006B7572" w:rsidTr="007201CD">
        <w:trPr>
          <w:gridAfter w:val="1"/>
          <w:wAfter w:w="24" w:type="dxa"/>
          <w:trHeight w:val="556"/>
          <w:jc w:val="center"/>
        </w:trPr>
        <w:tc>
          <w:tcPr>
            <w:tcW w:w="3531" w:type="dxa"/>
            <w:vAlign w:val="center"/>
          </w:tcPr>
          <w:p w:rsidR="007201CD" w:rsidRPr="007201CD" w:rsidRDefault="007201CD" w:rsidP="007205D8">
            <w:pPr>
              <w:numPr>
                <w:ilvl w:val="0"/>
                <w:numId w:val="8"/>
              </w:numPr>
              <w:spacing w:after="0" w:line="276" w:lineRule="auto"/>
              <w:ind w:left="0" w:firstLine="0"/>
              <w:rPr>
                <w:rFonts w:ascii="Arial" w:eastAsia="Calibri" w:hAnsi="Arial" w:cs="Arial"/>
                <w:bCs/>
                <w:iCs/>
                <w:color w:val="FF0000"/>
                <w:sz w:val="16"/>
                <w:szCs w:val="16"/>
                <w:lang w:val="en-US"/>
              </w:rPr>
            </w:pPr>
            <w:r w:rsidRPr="007201CD">
              <w:rPr>
                <w:rFonts w:ascii="Arial" w:eastAsia="Calibri" w:hAnsi="Arial" w:cs="Arial"/>
                <w:bCs/>
                <w:iCs/>
                <w:color w:val="FF0000"/>
                <w:sz w:val="16"/>
                <w:szCs w:val="16"/>
                <w:lang w:val="en-US"/>
              </w:rPr>
              <w:t>Instability of the country in terms of significant political changes or social unrest, ongoing conflicts, humanitarian crises, poor physical infrastructure, natural disasters, corruption; and  </w:t>
            </w:r>
          </w:p>
          <w:p w:rsidR="00A5131D" w:rsidRPr="007201CD" w:rsidRDefault="00A5131D" w:rsidP="007201CD">
            <w:pPr>
              <w:spacing w:after="0" w:line="276" w:lineRule="auto"/>
              <w:rPr>
                <w:rFonts w:ascii="Arial" w:eastAsia="Calibri" w:hAnsi="Arial" w:cs="Arial"/>
                <w:bCs/>
                <w:iCs/>
                <w:color w:val="FF0000"/>
                <w:sz w:val="16"/>
                <w:szCs w:val="16"/>
                <w:lang w:val="en-US"/>
              </w:rPr>
            </w:pPr>
          </w:p>
        </w:tc>
        <w:tc>
          <w:tcPr>
            <w:tcW w:w="1352" w:type="dxa"/>
          </w:tcPr>
          <w:p w:rsidR="00A5131D" w:rsidRPr="007201CD" w:rsidRDefault="00A5131D" w:rsidP="007201CD">
            <w:pPr>
              <w:spacing w:after="0" w:line="240" w:lineRule="auto"/>
              <w:ind w:left="13"/>
              <w:rPr>
                <w:rFonts w:ascii="Arial" w:eastAsia="SimSun" w:hAnsi="Arial" w:cs="Arial"/>
                <w:color w:val="FF0000"/>
                <w:sz w:val="16"/>
                <w:szCs w:val="16"/>
                <w:lang w:val="en-US" w:eastAsia="zh-CN"/>
              </w:rPr>
            </w:pPr>
          </w:p>
        </w:tc>
        <w:tc>
          <w:tcPr>
            <w:tcW w:w="3045" w:type="dxa"/>
          </w:tcPr>
          <w:p w:rsidR="00A5131D" w:rsidRPr="007201CD" w:rsidRDefault="00A5131D" w:rsidP="007201CD">
            <w:pPr>
              <w:spacing w:after="0" w:line="240" w:lineRule="auto"/>
              <w:rPr>
                <w:rFonts w:ascii="Arial" w:eastAsia="SimSun" w:hAnsi="Arial" w:cs="Arial"/>
                <w:color w:val="FF0000"/>
                <w:sz w:val="16"/>
                <w:szCs w:val="16"/>
                <w:lang w:val="en-US" w:eastAsia="zh-CN"/>
              </w:rPr>
            </w:pPr>
          </w:p>
        </w:tc>
        <w:tc>
          <w:tcPr>
            <w:tcW w:w="1290" w:type="dxa"/>
          </w:tcPr>
          <w:p w:rsidR="00594899" w:rsidRPr="007201CD" w:rsidRDefault="00594899" w:rsidP="007201CD">
            <w:pPr>
              <w:spacing w:after="0" w:line="240" w:lineRule="auto"/>
              <w:rPr>
                <w:rFonts w:ascii="Arial" w:eastAsia="SimSun" w:hAnsi="Arial" w:cs="Arial"/>
                <w:color w:val="FF0000"/>
                <w:sz w:val="16"/>
                <w:szCs w:val="16"/>
                <w:lang w:val="en-US" w:eastAsia="zh-CN"/>
              </w:rPr>
            </w:pPr>
          </w:p>
        </w:tc>
      </w:tr>
      <w:tr w:rsidR="00A5131D" w:rsidRPr="006B7572" w:rsidTr="007201CD">
        <w:trPr>
          <w:gridAfter w:val="1"/>
          <w:wAfter w:w="24" w:type="dxa"/>
          <w:trHeight w:val="564"/>
          <w:jc w:val="center"/>
        </w:trPr>
        <w:tc>
          <w:tcPr>
            <w:tcW w:w="3531" w:type="dxa"/>
          </w:tcPr>
          <w:p w:rsidR="00A5131D" w:rsidRPr="007201CD" w:rsidRDefault="00A5131D" w:rsidP="007201CD">
            <w:pPr>
              <w:spacing w:after="0" w:line="240" w:lineRule="auto"/>
              <w:rPr>
                <w:rFonts w:ascii="Arial" w:eastAsia="SimSun" w:hAnsi="Arial" w:cs="Arial"/>
                <w:color w:val="FF0000"/>
                <w:sz w:val="16"/>
                <w:szCs w:val="16"/>
                <w:lang w:val="en-US" w:eastAsia="zh-CN"/>
              </w:rPr>
            </w:pPr>
          </w:p>
        </w:tc>
        <w:tc>
          <w:tcPr>
            <w:tcW w:w="1352" w:type="dxa"/>
          </w:tcPr>
          <w:p w:rsidR="00A5131D" w:rsidRPr="007201CD" w:rsidRDefault="00A5131D" w:rsidP="007201CD">
            <w:pPr>
              <w:spacing w:after="0" w:line="240" w:lineRule="auto"/>
              <w:ind w:left="13"/>
              <w:rPr>
                <w:rFonts w:ascii="Arial" w:eastAsia="SimSun" w:hAnsi="Arial" w:cs="Arial"/>
                <w:color w:val="FF0000"/>
                <w:sz w:val="16"/>
                <w:szCs w:val="16"/>
                <w:lang w:val="en-US" w:eastAsia="zh-CN"/>
              </w:rPr>
            </w:pPr>
          </w:p>
        </w:tc>
        <w:tc>
          <w:tcPr>
            <w:tcW w:w="3045" w:type="dxa"/>
          </w:tcPr>
          <w:p w:rsidR="00A5131D" w:rsidRPr="007201CD" w:rsidRDefault="00A5131D" w:rsidP="007201CD">
            <w:pPr>
              <w:spacing w:after="0" w:line="240" w:lineRule="auto"/>
              <w:rPr>
                <w:rFonts w:ascii="Arial" w:eastAsia="SimSun" w:hAnsi="Arial" w:cs="Arial"/>
                <w:color w:val="FF0000"/>
                <w:sz w:val="16"/>
                <w:szCs w:val="16"/>
                <w:lang w:val="en-US" w:eastAsia="zh-CN"/>
              </w:rPr>
            </w:pPr>
          </w:p>
        </w:tc>
        <w:tc>
          <w:tcPr>
            <w:tcW w:w="1290" w:type="dxa"/>
          </w:tcPr>
          <w:p w:rsidR="00594899" w:rsidRPr="007201CD" w:rsidRDefault="00594899" w:rsidP="007201CD">
            <w:pPr>
              <w:spacing w:after="0" w:line="240" w:lineRule="auto"/>
              <w:rPr>
                <w:rFonts w:ascii="Arial" w:eastAsia="SimSun" w:hAnsi="Arial" w:cs="Arial"/>
                <w:color w:val="FF0000"/>
                <w:sz w:val="16"/>
                <w:szCs w:val="16"/>
                <w:lang w:val="en-US" w:eastAsia="zh-CN"/>
              </w:rPr>
            </w:pPr>
          </w:p>
        </w:tc>
      </w:tr>
      <w:tr w:rsidR="008B77B1" w:rsidRPr="006B7572" w:rsidTr="007201CD">
        <w:trPr>
          <w:gridAfter w:val="1"/>
          <w:wAfter w:w="24" w:type="dxa"/>
          <w:trHeight w:val="558"/>
          <w:jc w:val="center"/>
        </w:trPr>
        <w:tc>
          <w:tcPr>
            <w:tcW w:w="3531" w:type="dxa"/>
          </w:tcPr>
          <w:p w:rsidR="008B77B1" w:rsidRPr="007201CD" w:rsidRDefault="008B77B1" w:rsidP="007201CD">
            <w:pPr>
              <w:spacing w:after="0" w:line="240" w:lineRule="auto"/>
              <w:rPr>
                <w:rFonts w:ascii="Arial" w:eastAsia="SimSun" w:hAnsi="Arial" w:cs="Arial"/>
                <w:color w:val="FF0000"/>
                <w:sz w:val="16"/>
                <w:szCs w:val="16"/>
                <w:lang w:val="en-US" w:eastAsia="zh-CN"/>
              </w:rPr>
            </w:pPr>
          </w:p>
        </w:tc>
        <w:tc>
          <w:tcPr>
            <w:tcW w:w="1352" w:type="dxa"/>
          </w:tcPr>
          <w:p w:rsidR="008B77B1" w:rsidRPr="007201CD" w:rsidRDefault="008B77B1" w:rsidP="007201CD">
            <w:pPr>
              <w:spacing w:after="0" w:line="240" w:lineRule="auto"/>
              <w:ind w:left="13"/>
              <w:rPr>
                <w:rFonts w:ascii="Arial" w:eastAsia="SimSun" w:hAnsi="Arial" w:cs="Arial"/>
                <w:color w:val="FF0000"/>
                <w:sz w:val="16"/>
                <w:szCs w:val="16"/>
                <w:lang w:val="en-US" w:eastAsia="zh-CN"/>
              </w:rPr>
            </w:pPr>
          </w:p>
        </w:tc>
        <w:tc>
          <w:tcPr>
            <w:tcW w:w="3045" w:type="dxa"/>
          </w:tcPr>
          <w:p w:rsidR="008B77B1" w:rsidRPr="007201CD" w:rsidRDefault="008B77B1" w:rsidP="007201CD">
            <w:pPr>
              <w:spacing w:after="0" w:line="240" w:lineRule="auto"/>
              <w:rPr>
                <w:rFonts w:ascii="Arial" w:eastAsia="SimSun" w:hAnsi="Arial" w:cs="Arial"/>
                <w:color w:val="FF0000"/>
                <w:sz w:val="16"/>
                <w:szCs w:val="16"/>
                <w:lang w:val="en-US" w:eastAsia="zh-CN"/>
              </w:rPr>
            </w:pPr>
          </w:p>
        </w:tc>
        <w:tc>
          <w:tcPr>
            <w:tcW w:w="1290" w:type="dxa"/>
          </w:tcPr>
          <w:p w:rsidR="008B77B1" w:rsidRPr="007201CD" w:rsidRDefault="008B77B1" w:rsidP="007201CD">
            <w:pPr>
              <w:spacing w:after="0" w:line="240" w:lineRule="auto"/>
              <w:rPr>
                <w:rFonts w:ascii="Arial" w:eastAsia="SimSun" w:hAnsi="Arial" w:cs="Arial"/>
                <w:color w:val="FF0000"/>
                <w:sz w:val="16"/>
                <w:szCs w:val="16"/>
                <w:lang w:val="en-US" w:eastAsia="zh-CN"/>
              </w:rPr>
            </w:pPr>
          </w:p>
        </w:tc>
      </w:tr>
      <w:tr w:rsidR="005638BC" w:rsidRPr="006B7572" w:rsidTr="007201CD">
        <w:trPr>
          <w:gridAfter w:val="1"/>
          <w:wAfter w:w="24" w:type="dxa"/>
          <w:trHeight w:val="558"/>
          <w:jc w:val="center"/>
        </w:trPr>
        <w:tc>
          <w:tcPr>
            <w:tcW w:w="3531" w:type="dxa"/>
          </w:tcPr>
          <w:p w:rsidR="005638BC" w:rsidRPr="007201CD" w:rsidRDefault="005638BC" w:rsidP="007201CD">
            <w:pPr>
              <w:spacing w:after="0" w:line="240" w:lineRule="auto"/>
              <w:rPr>
                <w:rFonts w:ascii="Arial" w:eastAsia="SimSun" w:hAnsi="Arial" w:cs="Arial"/>
                <w:color w:val="FF0000"/>
                <w:sz w:val="16"/>
                <w:szCs w:val="16"/>
                <w:lang w:val="en-US" w:eastAsia="zh-CN"/>
              </w:rPr>
            </w:pPr>
          </w:p>
        </w:tc>
        <w:tc>
          <w:tcPr>
            <w:tcW w:w="1352" w:type="dxa"/>
          </w:tcPr>
          <w:p w:rsidR="005638BC" w:rsidRPr="007201CD" w:rsidRDefault="005638BC" w:rsidP="007201CD">
            <w:pPr>
              <w:spacing w:after="0" w:line="240" w:lineRule="auto"/>
              <w:ind w:left="13"/>
              <w:rPr>
                <w:rFonts w:ascii="Arial" w:eastAsia="SimSun" w:hAnsi="Arial" w:cs="Arial"/>
                <w:color w:val="FF0000"/>
                <w:sz w:val="16"/>
                <w:szCs w:val="16"/>
                <w:lang w:val="en-US" w:eastAsia="zh-CN"/>
              </w:rPr>
            </w:pPr>
          </w:p>
        </w:tc>
        <w:tc>
          <w:tcPr>
            <w:tcW w:w="3045" w:type="dxa"/>
          </w:tcPr>
          <w:p w:rsidR="005638BC" w:rsidRPr="007201CD" w:rsidRDefault="005638BC" w:rsidP="007201CD">
            <w:pPr>
              <w:spacing w:after="0" w:line="240" w:lineRule="auto"/>
              <w:rPr>
                <w:rFonts w:ascii="Arial" w:eastAsia="SimSun" w:hAnsi="Arial" w:cs="Arial"/>
                <w:color w:val="FF0000"/>
                <w:sz w:val="16"/>
                <w:szCs w:val="16"/>
                <w:lang w:val="en-US" w:eastAsia="zh-CN"/>
              </w:rPr>
            </w:pPr>
          </w:p>
        </w:tc>
        <w:tc>
          <w:tcPr>
            <w:tcW w:w="1290" w:type="dxa"/>
          </w:tcPr>
          <w:p w:rsidR="005638BC" w:rsidRPr="007201CD" w:rsidRDefault="005638BC" w:rsidP="007201CD">
            <w:pPr>
              <w:spacing w:after="0" w:line="240" w:lineRule="auto"/>
              <w:rPr>
                <w:rFonts w:ascii="Arial" w:eastAsia="SimSun" w:hAnsi="Arial" w:cs="Arial"/>
                <w:color w:val="FF0000"/>
                <w:sz w:val="16"/>
                <w:szCs w:val="16"/>
                <w:lang w:val="en-US" w:eastAsia="zh-CN"/>
              </w:rPr>
            </w:pPr>
          </w:p>
        </w:tc>
      </w:tr>
      <w:tr w:rsidR="00594899" w:rsidRPr="006B7572" w:rsidTr="007201CD">
        <w:trPr>
          <w:gridAfter w:val="1"/>
          <w:wAfter w:w="24" w:type="dxa"/>
          <w:trHeight w:val="351"/>
          <w:jc w:val="center"/>
        </w:trPr>
        <w:tc>
          <w:tcPr>
            <w:tcW w:w="9218" w:type="dxa"/>
            <w:gridSpan w:val="4"/>
          </w:tcPr>
          <w:p w:rsidR="00594899" w:rsidRPr="006B7572" w:rsidRDefault="00594899" w:rsidP="00594899">
            <w:pPr>
              <w:spacing w:before="120" w:after="120" w:line="240" w:lineRule="auto"/>
              <w:rPr>
                <w:rFonts w:ascii="Arial" w:eastAsia="SimSun" w:hAnsi="Arial" w:cs="Arial"/>
                <w:color w:val="A6A6A6"/>
                <w:sz w:val="20"/>
                <w:szCs w:val="20"/>
                <w:lang w:val="en-US" w:eastAsia="zh-CN"/>
              </w:rPr>
            </w:pPr>
            <w:r w:rsidRPr="006B7572">
              <w:rPr>
                <w:rFonts w:ascii="Arial" w:eastAsia="Calibri" w:hAnsi="Arial" w:cs="Arial"/>
                <w:bCs/>
                <w:i/>
                <w:iCs/>
                <w:sz w:val="20"/>
                <w:szCs w:val="20"/>
                <w:lang w:val="en-US"/>
              </w:rPr>
              <w:t>Add rows for additional key risks as necessary</w:t>
            </w:r>
          </w:p>
        </w:tc>
      </w:tr>
    </w:tbl>
    <w:p w:rsidR="0089492B" w:rsidRPr="006B7572" w:rsidRDefault="0089492B">
      <w:pPr>
        <w:rPr>
          <w:rFonts w:ascii="Arial" w:hAnsi="Arial" w:cs="Arial"/>
          <w:sz w:val="20"/>
          <w:szCs w:val="20"/>
        </w:rPr>
      </w:pPr>
    </w:p>
    <w:p w:rsidR="00D31191" w:rsidRPr="004049E0" w:rsidRDefault="00D31191" w:rsidP="007205D8">
      <w:pPr>
        <w:pStyle w:val="ListParagraph"/>
        <w:keepNext/>
        <w:keepLines/>
        <w:numPr>
          <w:ilvl w:val="0"/>
          <w:numId w:val="10"/>
        </w:numPr>
        <w:spacing w:after="120" w:line="240" w:lineRule="auto"/>
        <w:outlineLvl w:val="1"/>
        <w:rPr>
          <w:rFonts w:ascii="Arial" w:eastAsia="Times New Roman" w:hAnsi="Arial"/>
          <w:b/>
          <w:sz w:val="20"/>
          <w:szCs w:val="20"/>
          <w:lang w:eastAsia="en-GB"/>
        </w:rPr>
      </w:pPr>
      <w:r w:rsidRPr="004049E0">
        <w:rPr>
          <w:rFonts w:asciiTheme="minorHAnsi" w:eastAsia="Arial" w:hAnsiTheme="minorHAnsi"/>
          <w:spacing w:val="-1"/>
        </w:rPr>
        <w:lastRenderedPageBreak/>
        <w:t>N</w:t>
      </w:r>
      <w:r w:rsidRPr="004049E0">
        <w:rPr>
          <w:rFonts w:asciiTheme="minorHAnsi" w:eastAsia="Arial" w:hAnsiTheme="minorHAnsi"/>
        </w:rPr>
        <w:t>atu</w:t>
      </w:r>
      <w:r w:rsidRPr="004049E0">
        <w:rPr>
          <w:rFonts w:asciiTheme="minorHAnsi" w:eastAsia="Arial" w:hAnsiTheme="minorHAnsi"/>
          <w:spacing w:val="1"/>
        </w:rPr>
        <w:t>r</w:t>
      </w:r>
      <w:r w:rsidRPr="004049E0">
        <w:rPr>
          <w:rFonts w:asciiTheme="minorHAnsi" w:eastAsia="Arial" w:hAnsiTheme="minorHAnsi"/>
        </w:rPr>
        <w:t>aldisasters. C</w:t>
      </w:r>
      <w:r w:rsidRPr="004049E0">
        <w:rPr>
          <w:rFonts w:asciiTheme="minorHAnsi" w:eastAsia="Arial" w:hAnsiTheme="minorHAnsi"/>
          <w:spacing w:val="-2"/>
        </w:rPr>
        <w:t>y</w:t>
      </w:r>
      <w:r w:rsidRPr="004049E0">
        <w:rPr>
          <w:rFonts w:asciiTheme="minorHAnsi" w:eastAsia="Arial" w:hAnsiTheme="minorHAnsi"/>
        </w:rPr>
        <w:t>c</w:t>
      </w:r>
      <w:r w:rsidRPr="004049E0">
        <w:rPr>
          <w:rFonts w:asciiTheme="minorHAnsi" w:eastAsia="Arial" w:hAnsiTheme="minorHAnsi"/>
          <w:spacing w:val="-1"/>
        </w:rPr>
        <w:t>l</w:t>
      </w:r>
      <w:r w:rsidRPr="004049E0">
        <w:rPr>
          <w:rFonts w:asciiTheme="minorHAnsi" w:eastAsia="Arial" w:hAnsiTheme="minorHAnsi"/>
        </w:rPr>
        <w:t>o</w:t>
      </w:r>
      <w:r w:rsidRPr="004049E0">
        <w:rPr>
          <w:rFonts w:asciiTheme="minorHAnsi" w:eastAsia="Arial" w:hAnsiTheme="minorHAnsi"/>
          <w:spacing w:val="-1"/>
        </w:rPr>
        <w:t>n</w:t>
      </w:r>
      <w:r w:rsidRPr="004049E0">
        <w:rPr>
          <w:rFonts w:asciiTheme="minorHAnsi" w:eastAsia="Arial" w:hAnsiTheme="minorHAnsi"/>
        </w:rPr>
        <w:t>es</w:t>
      </w:r>
      <w:r w:rsidR="00BB21B6">
        <w:rPr>
          <w:rFonts w:asciiTheme="minorHAnsi" w:eastAsia="Arial" w:hAnsiTheme="minorHAnsi"/>
        </w:rPr>
        <w:t xml:space="preserve"> and flash-floods</w:t>
      </w:r>
      <w:r w:rsidRPr="004049E0">
        <w:rPr>
          <w:rFonts w:asciiTheme="minorHAnsi" w:eastAsia="Arial" w:hAnsiTheme="minorHAnsi"/>
        </w:rPr>
        <w:t>occur frequently in Bangladesh a</w:t>
      </w:r>
      <w:r w:rsidRPr="004049E0">
        <w:rPr>
          <w:rFonts w:asciiTheme="minorHAnsi" w:eastAsia="Arial" w:hAnsiTheme="minorHAnsi"/>
          <w:spacing w:val="-3"/>
        </w:rPr>
        <w:t>n</w:t>
      </w:r>
      <w:r w:rsidRPr="004049E0">
        <w:rPr>
          <w:rFonts w:asciiTheme="minorHAnsi" w:eastAsia="Arial" w:hAnsiTheme="minorHAnsi"/>
        </w:rPr>
        <w:t xml:space="preserve">d these </w:t>
      </w:r>
      <w:r w:rsidRPr="004049E0">
        <w:rPr>
          <w:rFonts w:asciiTheme="minorHAnsi" w:eastAsia="Arial" w:hAnsiTheme="minorHAnsi"/>
          <w:spacing w:val="1"/>
        </w:rPr>
        <w:t>m</w:t>
      </w:r>
      <w:r w:rsidRPr="004049E0">
        <w:rPr>
          <w:rFonts w:asciiTheme="minorHAnsi" w:eastAsia="Arial" w:hAnsiTheme="minorHAnsi"/>
        </w:rPr>
        <w:t xml:space="preserve">ay </w:t>
      </w:r>
      <w:r w:rsidRPr="004049E0">
        <w:rPr>
          <w:rFonts w:asciiTheme="minorHAnsi" w:eastAsia="Arial" w:hAnsiTheme="minorHAnsi"/>
          <w:spacing w:val="1"/>
        </w:rPr>
        <w:t>j</w:t>
      </w:r>
      <w:r w:rsidRPr="004049E0">
        <w:rPr>
          <w:rFonts w:asciiTheme="minorHAnsi" w:eastAsia="Arial" w:hAnsiTheme="minorHAnsi"/>
        </w:rPr>
        <w:t>e</w:t>
      </w:r>
      <w:r w:rsidRPr="004049E0">
        <w:rPr>
          <w:rFonts w:asciiTheme="minorHAnsi" w:eastAsia="Arial" w:hAnsiTheme="minorHAnsi"/>
          <w:spacing w:val="-1"/>
        </w:rPr>
        <w:t>o</w:t>
      </w:r>
      <w:r w:rsidRPr="004049E0">
        <w:rPr>
          <w:rFonts w:asciiTheme="minorHAnsi" w:eastAsia="Arial" w:hAnsiTheme="minorHAnsi"/>
        </w:rPr>
        <w:t>p</w:t>
      </w:r>
      <w:r w:rsidRPr="004049E0">
        <w:rPr>
          <w:rFonts w:asciiTheme="minorHAnsi" w:eastAsia="Arial" w:hAnsiTheme="minorHAnsi"/>
          <w:spacing w:val="-1"/>
        </w:rPr>
        <w:t>a</w:t>
      </w:r>
      <w:r w:rsidRPr="004049E0">
        <w:rPr>
          <w:rFonts w:asciiTheme="minorHAnsi" w:eastAsia="Arial" w:hAnsiTheme="minorHAnsi"/>
          <w:spacing w:val="1"/>
        </w:rPr>
        <w:t>r</w:t>
      </w:r>
      <w:r w:rsidRPr="004049E0">
        <w:rPr>
          <w:rFonts w:asciiTheme="minorHAnsi" w:eastAsia="Arial" w:hAnsiTheme="minorHAnsi"/>
        </w:rPr>
        <w:t>d</w:t>
      </w:r>
      <w:r w:rsidRPr="004049E0">
        <w:rPr>
          <w:rFonts w:asciiTheme="minorHAnsi" w:eastAsia="Arial" w:hAnsiTheme="minorHAnsi"/>
          <w:spacing w:val="-1"/>
        </w:rPr>
        <w:t>i</w:t>
      </w:r>
      <w:r w:rsidRPr="004049E0">
        <w:rPr>
          <w:rFonts w:asciiTheme="minorHAnsi" w:eastAsia="Arial" w:hAnsiTheme="minorHAnsi"/>
          <w:spacing w:val="-2"/>
        </w:rPr>
        <w:t>z</w:t>
      </w:r>
      <w:r w:rsidRPr="004049E0">
        <w:rPr>
          <w:rFonts w:asciiTheme="minorHAnsi" w:eastAsia="Arial" w:hAnsiTheme="minorHAnsi"/>
        </w:rPr>
        <w:t>e</w:t>
      </w:r>
      <w:r w:rsidRPr="004049E0">
        <w:rPr>
          <w:rFonts w:asciiTheme="minorHAnsi" w:eastAsia="Arial" w:hAnsiTheme="minorHAnsi"/>
          <w:spacing w:val="-1"/>
        </w:rPr>
        <w:t>i</w:t>
      </w:r>
      <w:r w:rsidRPr="004049E0">
        <w:rPr>
          <w:rFonts w:asciiTheme="minorHAnsi" w:eastAsia="Arial" w:hAnsiTheme="minorHAnsi"/>
          <w:spacing w:val="1"/>
        </w:rPr>
        <w:t>m</w:t>
      </w:r>
      <w:r w:rsidRPr="004049E0">
        <w:rPr>
          <w:rFonts w:asciiTheme="minorHAnsi" w:eastAsia="Arial" w:hAnsiTheme="minorHAnsi"/>
        </w:rPr>
        <w:t>p</w:t>
      </w:r>
      <w:r w:rsidRPr="004049E0">
        <w:rPr>
          <w:rFonts w:asciiTheme="minorHAnsi" w:eastAsia="Arial" w:hAnsiTheme="minorHAnsi"/>
          <w:spacing w:val="-1"/>
        </w:rPr>
        <w:t>l</w:t>
      </w:r>
      <w:r w:rsidRPr="004049E0">
        <w:rPr>
          <w:rFonts w:asciiTheme="minorHAnsi" w:eastAsia="Arial" w:hAnsiTheme="minorHAnsi"/>
        </w:rPr>
        <w:t>emen</w:t>
      </w:r>
      <w:r w:rsidRPr="004049E0">
        <w:rPr>
          <w:rFonts w:asciiTheme="minorHAnsi" w:eastAsia="Arial" w:hAnsiTheme="minorHAnsi"/>
          <w:spacing w:val="1"/>
        </w:rPr>
        <w:t>t</w:t>
      </w:r>
      <w:r w:rsidRPr="004049E0">
        <w:rPr>
          <w:rFonts w:asciiTheme="minorHAnsi" w:eastAsia="Arial" w:hAnsiTheme="minorHAnsi"/>
        </w:rPr>
        <w:t>ati</w:t>
      </w:r>
      <w:r w:rsidRPr="004049E0">
        <w:rPr>
          <w:rFonts w:asciiTheme="minorHAnsi" w:eastAsia="Arial" w:hAnsiTheme="minorHAnsi"/>
          <w:spacing w:val="-1"/>
        </w:rPr>
        <w:t>o</w:t>
      </w:r>
      <w:r w:rsidRPr="004049E0">
        <w:rPr>
          <w:rFonts w:asciiTheme="minorHAnsi" w:eastAsia="Arial" w:hAnsiTheme="minorHAnsi"/>
        </w:rPr>
        <w:t>n</w:t>
      </w:r>
      <w:r w:rsidRPr="004049E0">
        <w:rPr>
          <w:rFonts w:asciiTheme="minorHAnsi" w:eastAsia="Arial" w:hAnsiTheme="minorHAnsi"/>
          <w:spacing w:val="-3"/>
        </w:rPr>
        <w:t>o</w:t>
      </w:r>
      <w:r w:rsidRPr="004049E0">
        <w:rPr>
          <w:rFonts w:asciiTheme="minorHAnsi" w:eastAsia="Arial" w:hAnsiTheme="minorHAnsi"/>
        </w:rPr>
        <w:t>fp</w:t>
      </w:r>
      <w:r w:rsidRPr="004049E0">
        <w:rPr>
          <w:rFonts w:asciiTheme="minorHAnsi" w:eastAsia="Arial" w:hAnsiTheme="minorHAnsi"/>
          <w:spacing w:val="-1"/>
        </w:rPr>
        <w:t>l</w:t>
      </w:r>
      <w:r w:rsidRPr="004049E0">
        <w:rPr>
          <w:rFonts w:asciiTheme="minorHAnsi" w:eastAsia="Arial" w:hAnsiTheme="minorHAnsi"/>
        </w:rPr>
        <w:t>a</w:t>
      </w:r>
      <w:r w:rsidRPr="004049E0">
        <w:rPr>
          <w:rFonts w:asciiTheme="minorHAnsi" w:eastAsia="Arial" w:hAnsiTheme="minorHAnsi"/>
          <w:spacing w:val="-1"/>
        </w:rPr>
        <w:t>n</w:t>
      </w:r>
      <w:r w:rsidRPr="004049E0">
        <w:rPr>
          <w:rFonts w:asciiTheme="minorHAnsi" w:eastAsia="Arial" w:hAnsiTheme="minorHAnsi"/>
        </w:rPr>
        <w:t>n</w:t>
      </w:r>
      <w:r w:rsidRPr="004049E0">
        <w:rPr>
          <w:rFonts w:asciiTheme="minorHAnsi" w:eastAsia="Arial" w:hAnsiTheme="minorHAnsi"/>
          <w:spacing w:val="-1"/>
        </w:rPr>
        <w:t>e</w:t>
      </w:r>
      <w:r w:rsidRPr="004049E0">
        <w:rPr>
          <w:rFonts w:asciiTheme="minorHAnsi" w:eastAsia="Arial" w:hAnsiTheme="minorHAnsi"/>
        </w:rPr>
        <w:t>da</w:t>
      </w:r>
      <w:r w:rsidRPr="004049E0">
        <w:rPr>
          <w:rFonts w:asciiTheme="minorHAnsi" w:eastAsia="Arial" w:hAnsiTheme="minorHAnsi"/>
          <w:spacing w:val="-3"/>
        </w:rPr>
        <w:t>c</w:t>
      </w:r>
      <w:r w:rsidRPr="004049E0">
        <w:rPr>
          <w:rFonts w:asciiTheme="minorHAnsi" w:eastAsia="Arial" w:hAnsiTheme="minorHAnsi"/>
          <w:spacing w:val="1"/>
        </w:rPr>
        <w:t>t</w:t>
      </w:r>
      <w:r w:rsidRPr="004049E0">
        <w:rPr>
          <w:rFonts w:asciiTheme="minorHAnsi" w:eastAsia="Arial" w:hAnsiTheme="minorHAnsi"/>
          <w:spacing w:val="-1"/>
        </w:rPr>
        <w:t>i</w:t>
      </w:r>
      <w:r w:rsidRPr="004049E0">
        <w:rPr>
          <w:rFonts w:asciiTheme="minorHAnsi" w:eastAsia="Arial" w:hAnsiTheme="minorHAnsi"/>
          <w:spacing w:val="-2"/>
        </w:rPr>
        <w:t>v</w:t>
      </w:r>
      <w:r w:rsidRPr="004049E0">
        <w:rPr>
          <w:rFonts w:asciiTheme="minorHAnsi" w:eastAsia="Arial" w:hAnsiTheme="minorHAnsi"/>
          <w:spacing w:val="-1"/>
        </w:rPr>
        <w:t>i</w:t>
      </w:r>
      <w:r w:rsidRPr="004049E0">
        <w:rPr>
          <w:rFonts w:asciiTheme="minorHAnsi" w:eastAsia="Arial" w:hAnsiTheme="minorHAnsi"/>
          <w:spacing w:val="1"/>
        </w:rPr>
        <w:t>t</w:t>
      </w:r>
      <w:r w:rsidRPr="004049E0">
        <w:rPr>
          <w:rFonts w:asciiTheme="minorHAnsi" w:eastAsia="Arial" w:hAnsiTheme="minorHAnsi"/>
          <w:spacing w:val="-1"/>
        </w:rPr>
        <w:t>i</w:t>
      </w:r>
      <w:r w:rsidRPr="004049E0">
        <w:rPr>
          <w:rFonts w:asciiTheme="minorHAnsi" w:eastAsia="Arial" w:hAnsiTheme="minorHAnsi"/>
        </w:rPr>
        <w:t>es</w:t>
      </w:r>
      <w:r w:rsidRPr="004049E0">
        <w:rPr>
          <w:rFonts w:asciiTheme="minorHAnsi" w:eastAsia="Arial" w:hAnsiTheme="minorHAnsi"/>
          <w:spacing w:val="3"/>
        </w:rPr>
        <w:t xml:space="preserve"> both </w:t>
      </w:r>
      <w:r w:rsidRPr="004049E0">
        <w:rPr>
          <w:rFonts w:asciiTheme="minorHAnsi" w:eastAsia="Arial" w:hAnsiTheme="minorHAnsi"/>
          <w:spacing w:val="-1"/>
        </w:rPr>
        <w:t>i</w:t>
      </w:r>
      <w:r w:rsidRPr="004049E0">
        <w:rPr>
          <w:rFonts w:asciiTheme="minorHAnsi" w:eastAsia="Arial" w:hAnsiTheme="minorHAnsi"/>
        </w:rPr>
        <w:t>nd</w:t>
      </w:r>
      <w:r w:rsidRPr="004049E0">
        <w:rPr>
          <w:rFonts w:asciiTheme="minorHAnsi" w:eastAsia="Arial" w:hAnsiTheme="minorHAnsi"/>
          <w:spacing w:val="-1"/>
        </w:rPr>
        <w:t>i</w:t>
      </w:r>
      <w:r w:rsidRPr="004049E0">
        <w:rPr>
          <w:rFonts w:asciiTheme="minorHAnsi" w:eastAsia="Arial" w:hAnsiTheme="minorHAnsi"/>
          <w:spacing w:val="1"/>
        </w:rPr>
        <w:t>r</w:t>
      </w:r>
      <w:r w:rsidRPr="004049E0">
        <w:rPr>
          <w:rFonts w:asciiTheme="minorHAnsi" w:eastAsia="Arial" w:hAnsiTheme="minorHAnsi"/>
        </w:rPr>
        <w:t>ectly af</w:t>
      </w:r>
      <w:r w:rsidRPr="004049E0">
        <w:rPr>
          <w:rFonts w:asciiTheme="minorHAnsi" w:eastAsia="Arial" w:hAnsiTheme="minorHAnsi"/>
          <w:spacing w:val="4"/>
        </w:rPr>
        <w:t>f</w:t>
      </w:r>
      <w:r w:rsidRPr="004049E0">
        <w:rPr>
          <w:rFonts w:asciiTheme="minorHAnsi" w:eastAsia="Arial" w:hAnsiTheme="minorHAnsi"/>
        </w:rPr>
        <w:t>e</w:t>
      </w:r>
      <w:r w:rsidRPr="004049E0">
        <w:rPr>
          <w:rFonts w:asciiTheme="minorHAnsi" w:eastAsia="Arial" w:hAnsiTheme="minorHAnsi"/>
          <w:spacing w:val="-3"/>
        </w:rPr>
        <w:t>c</w:t>
      </w:r>
      <w:r w:rsidRPr="004049E0">
        <w:rPr>
          <w:rFonts w:asciiTheme="minorHAnsi" w:eastAsia="Arial" w:hAnsiTheme="minorHAnsi"/>
          <w:spacing w:val="1"/>
        </w:rPr>
        <w:t>t</w:t>
      </w:r>
      <w:r w:rsidRPr="004049E0">
        <w:rPr>
          <w:rFonts w:asciiTheme="minorHAnsi" w:eastAsia="Arial" w:hAnsiTheme="minorHAnsi"/>
        </w:rPr>
        <w:t>ed</w:t>
      </w:r>
      <w:r w:rsidRPr="004049E0">
        <w:rPr>
          <w:rFonts w:asciiTheme="minorHAnsi" w:eastAsia="Arial" w:hAnsiTheme="minorHAnsi"/>
          <w:spacing w:val="-3"/>
        </w:rPr>
        <w:t>a</w:t>
      </w:r>
      <w:r w:rsidRPr="004049E0">
        <w:rPr>
          <w:rFonts w:asciiTheme="minorHAnsi" w:eastAsia="Arial" w:hAnsiTheme="minorHAnsi"/>
          <w:spacing w:val="1"/>
        </w:rPr>
        <w:t>r</w:t>
      </w:r>
      <w:r w:rsidRPr="004049E0">
        <w:rPr>
          <w:rFonts w:asciiTheme="minorHAnsi" w:eastAsia="Arial" w:hAnsiTheme="minorHAnsi"/>
        </w:rPr>
        <w:t>e</w:t>
      </w:r>
      <w:r w:rsidRPr="004049E0">
        <w:rPr>
          <w:rFonts w:asciiTheme="minorHAnsi" w:eastAsia="Arial" w:hAnsiTheme="minorHAnsi"/>
          <w:spacing w:val="-1"/>
        </w:rPr>
        <w:t>a</w:t>
      </w:r>
      <w:r w:rsidRPr="004049E0">
        <w:rPr>
          <w:rFonts w:asciiTheme="minorHAnsi" w:eastAsia="Arial" w:hAnsiTheme="minorHAnsi"/>
        </w:rPr>
        <w:t>sand in oth</w:t>
      </w:r>
      <w:r w:rsidRPr="004049E0">
        <w:rPr>
          <w:rFonts w:asciiTheme="minorHAnsi" w:eastAsia="Arial" w:hAnsiTheme="minorHAnsi"/>
          <w:spacing w:val="-2"/>
        </w:rPr>
        <w:t>e</w:t>
      </w:r>
      <w:r w:rsidRPr="004049E0">
        <w:rPr>
          <w:rFonts w:asciiTheme="minorHAnsi" w:eastAsia="Arial" w:hAnsiTheme="minorHAnsi"/>
        </w:rPr>
        <w:t>rp</w:t>
      </w:r>
      <w:r w:rsidRPr="004049E0">
        <w:rPr>
          <w:rFonts w:asciiTheme="minorHAnsi" w:eastAsia="Arial" w:hAnsiTheme="minorHAnsi"/>
          <w:spacing w:val="-3"/>
        </w:rPr>
        <w:t>a</w:t>
      </w:r>
      <w:r w:rsidRPr="004049E0">
        <w:rPr>
          <w:rFonts w:asciiTheme="minorHAnsi" w:eastAsia="Arial" w:hAnsiTheme="minorHAnsi"/>
          <w:spacing w:val="1"/>
        </w:rPr>
        <w:t>rt</w:t>
      </w:r>
      <w:r w:rsidRPr="004049E0">
        <w:rPr>
          <w:rFonts w:asciiTheme="minorHAnsi" w:eastAsia="Arial" w:hAnsiTheme="minorHAnsi"/>
        </w:rPr>
        <w:t>s</w:t>
      </w:r>
      <w:r w:rsidRPr="004049E0">
        <w:rPr>
          <w:rFonts w:asciiTheme="minorHAnsi" w:eastAsia="Arial" w:hAnsiTheme="minorHAnsi"/>
          <w:spacing w:val="-3"/>
        </w:rPr>
        <w:t>o</w:t>
      </w:r>
      <w:r w:rsidRPr="004049E0">
        <w:rPr>
          <w:rFonts w:asciiTheme="minorHAnsi" w:eastAsia="Arial" w:hAnsiTheme="minorHAnsi"/>
        </w:rPr>
        <w:t>f</w:t>
      </w:r>
      <w:r w:rsidRPr="004049E0">
        <w:rPr>
          <w:rFonts w:asciiTheme="minorHAnsi" w:eastAsia="Arial" w:hAnsiTheme="minorHAnsi"/>
          <w:spacing w:val="1"/>
        </w:rPr>
        <w:t>t</w:t>
      </w:r>
      <w:r w:rsidRPr="004049E0">
        <w:rPr>
          <w:rFonts w:asciiTheme="minorHAnsi" w:eastAsia="Arial" w:hAnsiTheme="minorHAnsi"/>
        </w:rPr>
        <w:t>heco</w:t>
      </w:r>
      <w:r w:rsidRPr="004049E0">
        <w:rPr>
          <w:rFonts w:asciiTheme="minorHAnsi" w:eastAsia="Arial" w:hAnsiTheme="minorHAnsi"/>
          <w:spacing w:val="-1"/>
        </w:rPr>
        <w:t>u</w:t>
      </w:r>
      <w:r w:rsidRPr="004049E0">
        <w:rPr>
          <w:rFonts w:asciiTheme="minorHAnsi" w:eastAsia="Arial" w:hAnsiTheme="minorHAnsi"/>
        </w:rPr>
        <w:t>nt</w:t>
      </w:r>
      <w:r w:rsidRPr="004049E0">
        <w:rPr>
          <w:rFonts w:asciiTheme="minorHAnsi" w:eastAsia="Arial" w:hAnsiTheme="minorHAnsi"/>
          <w:spacing w:val="1"/>
        </w:rPr>
        <w:t>r</w:t>
      </w:r>
      <w:r w:rsidRPr="004049E0">
        <w:rPr>
          <w:rFonts w:asciiTheme="minorHAnsi" w:eastAsia="Arial" w:hAnsiTheme="minorHAnsi"/>
        </w:rPr>
        <w:t>yd</w:t>
      </w:r>
      <w:r w:rsidRPr="004049E0">
        <w:rPr>
          <w:rFonts w:asciiTheme="minorHAnsi" w:eastAsia="Arial" w:hAnsiTheme="minorHAnsi"/>
          <w:spacing w:val="-1"/>
        </w:rPr>
        <w:t>u</w:t>
      </w:r>
      <w:r w:rsidRPr="004049E0">
        <w:rPr>
          <w:rFonts w:asciiTheme="minorHAnsi" w:eastAsia="Arial" w:hAnsiTheme="minorHAnsi"/>
        </w:rPr>
        <w:t>e</w:t>
      </w:r>
      <w:r w:rsidRPr="004049E0">
        <w:rPr>
          <w:rFonts w:asciiTheme="minorHAnsi" w:eastAsia="Arial" w:hAnsiTheme="minorHAnsi"/>
          <w:spacing w:val="1"/>
        </w:rPr>
        <w:t>t</w:t>
      </w:r>
      <w:r w:rsidRPr="004049E0">
        <w:rPr>
          <w:rFonts w:asciiTheme="minorHAnsi" w:eastAsia="Arial" w:hAnsiTheme="minorHAnsi"/>
        </w:rPr>
        <w:t>od</w:t>
      </w:r>
      <w:r w:rsidRPr="004049E0">
        <w:rPr>
          <w:rFonts w:asciiTheme="minorHAnsi" w:eastAsia="Arial" w:hAnsiTheme="minorHAnsi"/>
          <w:spacing w:val="-1"/>
        </w:rPr>
        <w:t>i</w:t>
      </w:r>
      <w:r w:rsidRPr="004049E0">
        <w:rPr>
          <w:rFonts w:asciiTheme="minorHAnsi" w:eastAsia="Arial" w:hAnsiTheme="minorHAnsi"/>
          <w:spacing w:val="-2"/>
        </w:rPr>
        <w:t>v</w:t>
      </w:r>
      <w:r w:rsidRPr="004049E0">
        <w:rPr>
          <w:rFonts w:asciiTheme="minorHAnsi" w:eastAsia="Arial" w:hAnsiTheme="minorHAnsi"/>
        </w:rPr>
        <w:t>er</w:t>
      </w:r>
      <w:r w:rsidRPr="004049E0">
        <w:rPr>
          <w:rFonts w:asciiTheme="minorHAnsi" w:eastAsia="Arial" w:hAnsiTheme="minorHAnsi"/>
          <w:spacing w:val="1"/>
        </w:rPr>
        <w:t>sion of efforts and supplies t</w:t>
      </w:r>
      <w:r w:rsidRPr="004049E0">
        <w:rPr>
          <w:rFonts w:asciiTheme="minorHAnsi" w:eastAsia="Arial" w:hAnsiTheme="minorHAnsi"/>
        </w:rPr>
        <w:t xml:space="preserve">o </w:t>
      </w:r>
      <w:r w:rsidRPr="004049E0">
        <w:rPr>
          <w:rFonts w:asciiTheme="minorHAnsi" w:eastAsia="Arial" w:hAnsiTheme="minorHAnsi"/>
          <w:spacing w:val="-2"/>
        </w:rPr>
        <w:t>a</w:t>
      </w:r>
      <w:r w:rsidRPr="004049E0">
        <w:rPr>
          <w:rFonts w:asciiTheme="minorHAnsi" w:eastAsia="Arial" w:hAnsiTheme="minorHAnsi"/>
          <w:spacing w:val="-1"/>
        </w:rPr>
        <w:t>f</w:t>
      </w:r>
      <w:r w:rsidRPr="004049E0">
        <w:rPr>
          <w:rFonts w:asciiTheme="minorHAnsi" w:eastAsia="Arial" w:hAnsiTheme="minorHAnsi"/>
          <w:spacing w:val="1"/>
        </w:rPr>
        <w:t>f</w:t>
      </w:r>
      <w:r w:rsidRPr="004049E0">
        <w:rPr>
          <w:rFonts w:asciiTheme="minorHAnsi" w:eastAsia="Arial" w:hAnsiTheme="minorHAnsi"/>
        </w:rPr>
        <w:t>ectedare</w:t>
      </w:r>
      <w:r w:rsidRPr="004049E0">
        <w:rPr>
          <w:rFonts w:asciiTheme="minorHAnsi" w:eastAsia="Arial" w:hAnsiTheme="minorHAnsi"/>
          <w:spacing w:val="-3"/>
        </w:rPr>
        <w:t>a</w:t>
      </w:r>
      <w:r w:rsidRPr="004049E0">
        <w:rPr>
          <w:rFonts w:asciiTheme="minorHAnsi" w:eastAsia="Arial" w:hAnsiTheme="minorHAnsi"/>
        </w:rPr>
        <w:t>s.</w:t>
      </w:r>
      <w:r w:rsidRPr="004049E0">
        <w:rPr>
          <w:rFonts w:ascii="Arial" w:eastAsia="SimSun" w:hAnsi="Arial"/>
          <w:sz w:val="20"/>
          <w:szCs w:val="20"/>
          <w:u w:val="single"/>
          <w:lang w:eastAsia="zh-CN"/>
        </w:rPr>
        <w:t>Proposed mitigation</w:t>
      </w:r>
      <w:r w:rsidRPr="004049E0">
        <w:rPr>
          <w:rFonts w:ascii="Arial" w:eastAsia="SimSun" w:hAnsi="Arial"/>
          <w:sz w:val="20"/>
          <w:szCs w:val="20"/>
          <w:lang w:eastAsia="zh-CN"/>
        </w:rPr>
        <w:t xml:space="preserve">. Buffer stocks have been incorporated into the procurement of all key programme commodities (RDTs, drugs </w:t>
      </w:r>
      <w:r w:rsidR="0089189F" w:rsidRPr="004049E0">
        <w:rPr>
          <w:rFonts w:ascii="Arial" w:eastAsia="SimSun" w:hAnsi="Arial"/>
          <w:sz w:val="20"/>
          <w:szCs w:val="20"/>
          <w:lang w:eastAsia="zh-CN"/>
        </w:rPr>
        <w:t xml:space="preserve">and </w:t>
      </w:r>
      <w:r w:rsidRPr="004049E0">
        <w:rPr>
          <w:rFonts w:ascii="Arial" w:eastAsia="SimSun" w:hAnsi="Arial"/>
          <w:sz w:val="20"/>
          <w:szCs w:val="20"/>
          <w:lang w:eastAsia="zh-CN"/>
        </w:rPr>
        <w:t>LLINs).</w:t>
      </w:r>
    </w:p>
    <w:p w:rsidR="00D31191" w:rsidRPr="004049E0" w:rsidRDefault="00D31191" w:rsidP="007205D8">
      <w:pPr>
        <w:pStyle w:val="ListParagraph"/>
        <w:keepNext/>
        <w:keepLines/>
        <w:numPr>
          <w:ilvl w:val="0"/>
          <w:numId w:val="10"/>
        </w:numPr>
        <w:spacing w:after="120" w:line="240" w:lineRule="auto"/>
        <w:outlineLvl w:val="1"/>
        <w:rPr>
          <w:rFonts w:ascii="Arial" w:eastAsia="Times New Roman" w:hAnsi="Arial"/>
          <w:b/>
          <w:sz w:val="20"/>
          <w:szCs w:val="20"/>
          <w:lang w:eastAsia="en-GB"/>
        </w:rPr>
      </w:pPr>
      <w:r w:rsidRPr="004049E0">
        <w:rPr>
          <w:rFonts w:ascii="Arial" w:eastAsia="Times New Roman" w:hAnsi="Arial"/>
          <w:sz w:val="20"/>
          <w:szCs w:val="20"/>
          <w:lang w:eastAsia="en-GB"/>
        </w:rPr>
        <w:t xml:space="preserve">Development and spread of ACT resistant falciparum malaria in Bangladesh. </w:t>
      </w:r>
      <w:r w:rsidRPr="004049E0">
        <w:rPr>
          <w:rFonts w:ascii="Arial" w:eastAsia="SimSun" w:hAnsi="Arial"/>
          <w:sz w:val="20"/>
          <w:szCs w:val="20"/>
          <w:u w:val="single"/>
          <w:lang w:eastAsia="zh-CN"/>
        </w:rPr>
        <w:t>Proposed mitigation</w:t>
      </w:r>
      <w:r w:rsidRPr="004049E0">
        <w:rPr>
          <w:rFonts w:ascii="Arial" w:eastAsia="SimSun" w:hAnsi="Arial"/>
          <w:sz w:val="20"/>
          <w:szCs w:val="20"/>
          <w:lang w:eastAsia="zh-CN"/>
        </w:rPr>
        <w:t xml:space="preserve">. Close monitoring of drug resistance status will be maintained through TES in sentinel sites and through molecular studies analysing samples collected nationwide. Resulting data will be shared with WHO and technical partners and in the event of development of </w:t>
      </w:r>
      <w:r w:rsidR="0089189F">
        <w:rPr>
          <w:rFonts w:ascii="Arial" w:eastAsia="SimSun" w:hAnsi="Arial"/>
          <w:sz w:val="20"/>
          <w:szCs w:val="20"/>
          <w:lang w:eastAsia="zh-CN"/>
        </w:rPr>
        <w:t xml:space="preserve">ACT </w:t>
      </w:r>
      <w:r w:rsidRPr="004049E0">
        <w:rPr>
          <w:rFonts w:ascii="Arial" w:eastAsia="SimSun" w:hAnsi="Arial"/>
          <w:sz w:val="20"/>
          <w:szCs w:val="20"/>
          <w:lang w:eastAsia="zh-CN"/>
        </w:rPr>
        <w:t>resistance a suitable response will be developed following the recommendations of WHO’s Malaria Policy Advisory Committee (MPAC).</w:t>
      </w:r>
    </w:p>
    <w:p w:rsidR="00D31191" w:rsidRPr="004049E0" w:rsidRDefault="00D31191" w:rsidP="007205D8">
      <w:pPr>
        <w:pStyle w:val="ListParagraph"/>
        <w:keepNext/>
        <w:keepLines/>
        <w:numPr>
          <w:ilvl w:val="0"/>
          <w:numId w:val="10"/>
        </w:numPr>
        <w:spacing w:after="120" w:line="240" w:lineRule="auto"/>
        <w:outlineLvl w:val="1"/>
        <w:rPr>
          <w:rFonts w:ascii="Arial" w:eastAsia="Times New Roman" w:hAnsi="Arial"/>
          <w:b/>
          <w:sz w:val="20"/>
          <w:szCs w:val="20"/>
          <w:lang w:eastAsia="en-GB"/>
        </w:rPr>
      </w:pPr>
      <w:r w:rsidRPr="004049E0">
        <w:rPr>
          <w:rFonts w:ascii="Arial" w:eastAsia="Times New Roman" w:hAnsi="Arial"/>
          <w:sz w:val="20"/>
          <w:szCs w:val="20"/>
          <w:lang w:eastAsia="en-GB"/>
        </w:rPr>
        <w:t xml:space="preserve">Development and spread of operationally significant pyrethroid resistance in Bangladesh. </w:t>
      </w:r>
      <w:r w:rsidRPr="004049E0">
        <w:rPr>
          <w:rFonts w:ascii="Arial" w:eastAsia="Times New Roman" w:hAnsi="Arial"/>
          <w:sz w:val="20"/>
          <w:szCs w:val="20"/>
          <w:u w:val="single"/>
          <w:lang w:eastAsia="en-GB"/>
        </w:rPr>
        <w:t xml:space="preserve">Proposed </w:t>
      </w:r>
      <w:r w:rsidRPr="004049E0">
        <w:rPr>
          <w:rFonts w:ascii="Arial" w:eastAsia="SimSun" w:hAnsi="Arial"/>
          <w:sz w:val="20"/>
          <w:szCs w:val="20"/>
          <w:u w:val="single"/>
          <w:lang w:eastAsia="zh-CN"/>
        </w:rPr>
        <w:t>mitigation</w:t>
      </w:r>
      <w:r w:rsidRPr="004049E0">
        <w:rPr>
          <w:rFonts w:ascii="Arial" w:eastAsia="SimSun" w:hAnsi="Arial"/>
          <w:sz w:val="20"/>
          <w:szCs w:val="20"/>
          <w:lang w:eastAsia="zh-CN"/>
        </w:rPr>
        <w:t>. Close monitoring of insecticide resistance will continue to be carried out at sentinel sites. Resulting data will be shared with WHO and technical partners. If insecticide resistance is found it’s operational significance will be assessed and a suitable response will be developed as required in consultation with WHO.</w:t>
      </w:r>
    </w:p>
    <w:p w:rsidR="00D31191" w:rsidRPr="004049E0" w:rsidRDefault="00D31191" w:rsidP="007205D8">
      <w:pPr>
        <w:pStyle w:val="ListParagraph"/>
        <w:keepNext/>
        <w:keepLines/>
        <w:numPr>
          <w:ilvl w:val="0"/>
          <w:numId w:val="10"/>
        </w:numPr>
        <w:spacing w:after="120" w:line="240" w:lineRule="auto"/>
        <w:outlineLvl w:val="1"/>
        <w:rPr>
          <w:rFonts w:ascii="Arial" w:eastAsia="Times New Roman" w:hAnsi="Arial"/>
          <w:b/>
          <w:sz w:val="20"/>
          <w:szCs w:val="20"/>
          <w:lang w:eastAsia="en-GB"/>
        </w:rPr>
      </w:pPr>
      <w:r w:rsidRPr="004049E0">
        <w:rPr>
          <w:rFonts w:asciiTheme="minorHAnsi" w:eastAsia="Arial" w:hAnsiTheme="minorHAnsi"/>
        </w:rPr>
        <w:t>Financial issues. F</w:t>
      </w:r>
      <w:r w:rsidRPr="004049E0">
        <w:rPr>
          <w:rFonts w:asciiTheme="minorHAnsi" w:eastAsia="Arial" w:hAnsiTheme="minorHAnsi"/>
          <w:spacing w:val="-1"/>
        </w:rPr>
        <w:t>l</w:t>
      </w:r>
      <w:r w:rsidRPr="004049E0">
        <w:rPr>
          <w:rFonts w:asciiTheme="minorHAnsi" w:eastAsia="Arial" w:hAnsiTheme="minorHAnsi"/>
        </w:rPr>
        <w:t>uctu</w:t>
      </w:r>
      <w:r w:rsidRPr="004049E0">
        <w:rPr>
          <w:rFonts w:asciiTheme="minorHAnsi" w:eastAsia="Arial" w:hAnsiTheme="minorHAnsi"/>
          <w:spacing w:val="-2"/>
        </w:rPr>
        <w:t>a</w:t>
      </w:r>
      <w:r w:rsidRPr="004049E0">
        <w:rPr>
          <w:rFonts w:asciiTheme="minorHAnsi" w:eastAsia="Arial" w:hAnsiTheme="minorHAnsi"/>
          <w:spacing w:val="1"/>
        </w:rPr>
        <w:t>t</w:t>
      </w:r>
      <w:r w:rsidRPr="004049E0">
        <w:rPr>
          <w:rFonts w:asciiTheme="minorHAnsi" w:eastAsia="Arial" w:hAnsiTheme="minorHAnsi"/>
          <w:spacing w:val="-1"/>
        </w:rPr>
        <w:t>i</w:t>
      </w:r>
      <w:r w:rsidRPr="004049E0">
        <w:rPr>
          <w:rFonts w:asciiTheme="minorHAnsi" w:eastAsia="Arial" w:hAnsiTheme="minorHAnsi"/>
        </w:rPr>
        <w:t>o</w:t>
      </w:r>
      <w:r w:rsidRPr="004049E0">
        <w:rPr>
          <w:rFonts w:asciiTheme="minorHAnsi" w:eastAsia="Arial" w:hAnsiTheme="minorHAnsi"/>
          <w:spacing w:val="-1"/>
        </w:rPr>
        <w:t>n</w:t>
      </w:r>
      <w:r w:rsidRPr="004049E0">
        <w:rPr>
          <w:rFonts w:asciiTheme="minorHAnsi" w:eastAsia="Arial" w:hAnsiTheme="minorHAnsi"/>
        </w:rPr>
        <w:t>s</w:t>
      </w:r>
      <w:r w:rsidRPr="004049E0">
        <w:rPr>
          <w:rFonts w:asciiTheme="minorHAnsi" w:eastAsia="Arial" w:hAnsiTheme="minorHAnsi"/>
          <w:spacing w:val="-1"/>
        </w:rPr>
        <w:t>i</w:t>
      </w:r>
      <w:r w:rsidRPr="004049E0">
        <w:rPr>
          <w:rFonts w:asciiTheme="minorHAnsi" w:eastAsia="Arial" w:hAnsiTheme="minorHAnsi"/>
        </w:rPr>
        <w:t>n e</w:t>
      </w:r>
      <w:r w:rsidRPr="004049E0">
        <w:rPr>
          <w:rFonts w:asciiTheme="minorHAnsi" w:eastAsia="Arial" w:hAnsiTheme="minorHAnsi"/>
          <w:spacing w:val="-3"/>
        </w:rPr>
        <w:t>x</w:t>
      </w:r>
      <w:r w:rsidRPr="004049E0">
        <w:rPr>
          <w:rFonts w:asciiTheme="minorHAnsi" w:eastAsia="Arial" w:hAnsiTheme="minorHAnsi"/>
        </w:rPr>
        <w:t>ch</w:t>
      </w:r>
      <w:r w:rsidRPr="004049E0">
        <w:rPr>
          <w:rFonts w:asciiTheme="minorHAnsi" w:eastAsia="Arial" w:hAnsiTheme="minorHAnsi"/>
          <w:spacing w:val="-1"/>
        </w:rPr>
        <w:t>a</w:t>
      </w:r>
      <w:r w:rsidRPr="004049E0">
        <w:rPr>
          <w:rFonts w:asciiTheme="minorHAnsi" w:eastAsia="Arial" w:hAnsiTheme="minorHAnsi"/>
        </w:rPr>
        <w:t>n</w:t>
      </w:r>
      <w:r w:rsidRPr="004049E0">
        <w:rPr>
          <w:rFonts w:asciiTheme="minorHAnsi" w:eastAsia="Arial" w:hAnsiTheme="minorHAnsi"/>
          <w:spacing w:val="1"/>
        </w:rPr>
        <w:t>g</w:t>
      </w:r>
      <w:r w:rsidRPr="004049E0">
        <w:rPr>
          <w:rFonts w:asciiTheme="minorHAnsi" w:eastAsia="Arial" w:hAnsiTheme="minorHAnsi"/>
        </w:rPr>
        <w:t xml:space="preserve">e </w:t>
      </w:r>
      <w:r w:rsidRPr="004049E0">
        <w:rPr>
          <w:rFonts w:asciiTheme="minorHAnsi" w:eastAsia="Arial" w:hAnsiTheme="minorHAnsi"/>
          <w:spacing w:val="1"/>
        </w:rPr>
        <w:t>r</w:t>
      </w:r>
      <w:r w:rsidRPr="004049E0">
        <w:rPr>
          <w:rFonts w:asciiTheme="minorHAnsi" w:eastAsia="Arial" w:hAnsiTheme="minorHAnsi"/>
          <w:spacing w:val="-3"/>
        </w:rPr>
        <w:t>a</w:t>
      </w:r>
      <w:r w:rsidRPr="004049E0">
        <w:rPr>
          <w:rFonts w:asciiTheme="minorHAnsi" w:eastAsia="Arial" w:hAnsiTheme="minorHAnsi"/>
          <w:spacing w:val="1"/>
        </w:rPr>
        <w:t>t</w:t>
      </w:r>
      <w:r w:rsidRPr="004049E0">
        <w:rPr>
          <w:rFonts w:asciiTheme="minorHAnsi" w:eastAsia="Arial" w:hAnsiTheme="minorHAnsi"/>
        </w:rPr>
        <w:t>es h</w:t>
      </w:r>
      <w:r w:rsidRPr="004049E0">
        <w:rPr>
          <w:rFonts w:asciiTheme="minorHAnsi" w:eastAsia="Arial" w:hAnsiTheme="minorHAnsi"/>
          <w:spacing w:val="-1"/>
        </w:rPr>
        <w:t>a</w:t>
      </w:r>
      <w:r w:rsidRPr="004049E0">
        <w:rPr>
          <w:rFonts w:asciiTheme="minorHAnsi" w:eastAsia="Arial" w:hAnsiTheme="minorHAnsi"/>
          <w:spacing w:val="-2"/>
        </w:rPr>
        <w:t>v</w:t>
      </w:r>
      <w:r w:rsidRPr="004049E0">
        <w:rPr>
          <w:rFonts w:asciiTheme="minorHAnsi" w:eastAsia="Arial" w:hAnsiTheme="minorHAnsi"/>
        </w:rPr>
        <w:t>e n</w:t>
      </w:r>
      <w:r w:rsidRPr="004049E0">
        <w:rPr>
          <w:rFonts w:asciiTheme="minorHAnsi" w:eastAsia="Arial" w:hAnsiTheme="minorHAnsi"/>
          <w:spacing w:val="-3"/>
        </w:rPr>
        <w:t>e</w:t>
      </w:r>
      <w:r w:rsidRPr="004049E0">
        <w:rPr>
          <w:rFonts w:asciiTheme="minorHAnsi" w:eastAsia="Arial" w:hAnsiTheme="minorHAnsi"/>
          <w:spacing w:val="2"/>
        </w:rPr>
        <w:t>g</w:t>
      </w:r>
      <w:r w:rsidRPr="004049E0">
        <w:rPr>
          <w:rFonts w:asciiTheme="minorHAnsi" w:eastAsia="Arial" w:hAnsiTheme="minorHAnsi"/>
          <w:spacing w:val="-3"/>
        </w:rPr>
        <w:t>a</w:t>
      </w:r>
      <w:r w:rsidRPr="004049E0">
        <w:rPr>
          <w:rFonts w:asciiTheme="minorHAnsi" w:eastAsia="Arial" w:hAnsiTheme="minorHAnsi"/>
          <w:spacing w:val="1"/>
        </w:rPr>
        <w:t>t</w:t>
      </w:r>
      <w:r w:rsidRPr="004049E0">
        <w:rPr>
          <w:rFonts w:asciiTheme="minorHAnsi" w:eastAsia="Arial" w:hAnsiTheme="minorHAnsi"/>
          <w:spacing w:val="-1"/>
        </w:rPr>
        <w:t>i</w:t>
      </w:r>
      <w:r w:rsidRPr="004049E0">
        <w:rPr>
          <w:rFonts w:asciiTheme="minorHAnsi" w:eastAsia="Arial" w:hAnsiTheme="minorHAnsi"/>
          <w:spacing w:val="-2"/>
        </w:rPr>
        <w:t>v</w:t>
      </w:r>
      <w:r w:rsidRPr="004049E0">
        <w:rPr>
          <w:rFonts w:asciiTheme="minorHAnsi" w:eastAsia="Arial" w:hAnsiTheme="minorHAnsi"/>
        </w:rPr>
        <w:t>e</w:t>
      </w:r>
      <w:r w:rsidRPr="004049E0">
        <w:rPr>
          <w:rFonts w:asciiTheme="minorHAnsi" w:eastAsia="Arial" w:hAnsiTheme="minorHAnsi"/>
          <w:spacing w:val="1"/>
        </w:rPr>
        <w:t>l</w:t>
      </w:r>
      <w:r w:rsidRPr="004049E0">
        <w:rPr>
          <w:rFonts w:asciiTheme="minorHAnsi" w:eastAsia="Arial" w:hAnsiTheme="minorHAnsi"/>
        </w:rPr>
        <w:t>y af</w:t>
      </w:r>
      <w:r w:rsidRPr="004049E0">
        <w:rPr>
          <w:rFonts w:asciiTheme="minorHAnsi" w:eastAsia="Arial" w:hAnsiTheme="minorHAnsi"/>
          <w:spacing w:val="2"/>
        </w:rPr>
        <w:t>f</w:t>
      </w:r>
      <w:r w:rsidRPr="004049E0">
        <w:rPr>
          <w:rFonts w:asciiTheme="minorHAnsi" w:eastAsia="Arial" w:hAnsiTheme="minorHAnsi"/>
        </w:rPr>
        <w:t xml:space="preserve">ected </w:t>
      </w:r>
      <w:r w:rsidRPr="004049E0">
        <w:rPr>
          <w:rFonts w:asciiTheme="minorHAnsi" w:eastAsia="Arial" w:hAnsiTheme="minorHAnsi"/>
          <w:spacing w:val="1"/>
        </w:rPr>
        <w:t>t</w:t>
      </w:r>
      <w:r w:rsidRPr="004049E0">
        <w:rPr>
          <w:rFonts w:asciiTheme="minorHAnsi" w:eastAsia="Arial" w:hAnsiTheme="minorHAnsi"/>
        </w:rPr>
        <w:t xml:space="preserve">he </w:t>
      </w:r>
      <w:r w:rsidRPr="004049E0">
        <w:rPr>
          <w:rFonts w:asciiTheme="minorHAnsi" w:eastAsia="Arial" w:hAnsiTheme="minorHAnsi"/>
          <w:spacing w:val="-3"/>
        </w:rPr>
        <w:t>p</w:t>
      </w:r>
      <w:r w:rsidRPr="004049E0">
        <w:rPr>
          <w:rFonts w:asciiTheme="minorHAnsi" w:eastAsia="Arial" w:hAnsiTheme="minorHAnsi"/>
        </w:rPr>
        <w:t>urchas</w:t>
      </w:r>
      <w:r w:rsidRPr="004049E0">
        <w:rPr>
          <w:rFonts w:asciiTheme="minorHAnsi" w:eastAsia="Arial" w:hAnsiTheme="minorHAnsi"/>
          <w:spacing w:val="-1"/>
        </w:rPr>
        <w:t>i</w:t>
      </w:r>
      <w:r w:rsidRPr="004049E0">
        <w:rPr>
          <w:rFonts w:asciiTheme="minorHAnsi" w:eastAsia="Arial" w:hAnsiTheme="minorHAnsi"/>
          <w:spacing w:val="-3"/>
        </w:rPr>
        <w:t>n</w:t>
      </w:r>
      <w:r w:rsidRPr="004049E0">
        <w:rPr>
          <w:rFonts w:asciiTheme="minorHAnsi" w:eastAsia="Arial" w:hAnsiTheme="minorHAnsi"/>
        </w:rPr>
        <w:t>g p</w:t>
      </w:r>
      <w:r w:rsidRPr="004049E0">
        <w:rPr>
          <w:rFonts w:asciiTheme="minorHAnsi" w:eastAsia="Arial" w:hAnsiTheme="minorHAnsi"/>
          <w:spacing w:val="-1"/>
        </w:rPr>
        <w:t>o</w:t>
      </w:r>
      <w:r w:rsidRPr="004049E0">
        <w:rPr>
          <w:rFonts w:asciiTheme="minorHAnsi" w:eastAsia="Arial" w:hAnsiTheme="minorHAnsi"/>
          <w:spacing w:val="-3"/>
        </w:rPr>
        <w:t>w</w:t>
      </w:r>
      <w:r w:rsidRPr="004049E0">
        <w:rPr>
          <w:rFonts w:asciiTheme="minorHAnsi" w:eastAsia="Arial" w:hAnsiTheme="minorHAnsi"/>
        </w:rPr>
        <w:t xml:space="preserve">er of </w:t>
      </w:r>
      <w:r w:rsidRPr="004049E0">
        <w:rPr>
          <w:rFonts w:asciiTheme="minorHAnsi" w:eastAsia="Arial" w:hAnsiTheme="minorHAnsi"/>
          <w:spacing w:val="1"/>
        </w:rPr>
        <w:t>t</w:t>
      </w:r>
      <w:r w:rsidRPr="004049E0">
        <w:rPr>
          <w:rFonts w:asciiTheme="minorHAnsi" w:eastAsia="Arial" w:hAnsiTheme="minorHAnsi"/>
        </w:rPr>
        <w:t>he b</w:t>
      </w:r>
      <w:r w:rsidRPr="004049E0">
        <w:rPr>
          <w:rFonts w:asciiTheme="minorHAnsi" w:eastAsia="Arial" w:hAnsiTheme="minorHAnsi"/>
          <w:spacing w:val="-1"/>
        </w:rPr>
        <w:t>u</w:t>
      </w:r>
      <w:r w:rsidRPr="004049E0">
        <w:rPr>
          <w:rFonts w:asciiTheme="minorHAnsi" w:eastAsia="Arial" w:hAnsiTheme="minorHAnsi"/>
          <w:spacing w:val="-3"/>
        </w:rPr>
        <w:t>d</w:t>
      </w:r>
      <w:r w:rsidRPr="004049E0">
        <w:rPr>
          <w:rFonts w:asciiTheme="minorHAnsi" w:eastAsia="Arial" w:hAnsiTheme="minorHAnsi"/>
          <w:spacing w:val="2"/>
        </w:rPr>
        <w:t>g</w:t>
      </w:r>
      <w:r w:rsidRPr="004049E0">
        <w:rPr>
          <w:rFonts w:asciiTheme="minorHAnsi" w:eastAsia="Arial" w:hAnsiTheme="minorHAnsi"/>
        </w:rPr>
        <w:t>e</w:t>
      </w:r>
      <w:r w:rsidRPr="004049E0">
        <w:rPr>
          <w:rFonts w:asciiTheme="minorHAnsi" w:eastAsia="Arial" w:hAnsiTheme="minorHAnsi"/>
          <w:spacing w:val="-2"/>
        </w:rPr>
        <w:t>t in the past</w:t>
      </w:r>
      <w:r w:rsidRPr="004049E0">
        <w:rPr>
          <w:rFonts w:asciiTheme="minorHAnsi" w:eastAsia="Arial" w:hAnsiTheme="minorHAnsi"/>
        </w:rPr>
        <w:t xml:space="preserve">. </w:t>
      </w:r>
      <w:r w:rsidRPr="004049E0">
        <w:rPr>
          <w:rFonts w:asciiTheme="minorHAnsi" w:eastAsia="Arial" w:hAnsiTheme="minorHAnsi"/>
          <w:spacing w:val="5"/>
        </w:rPr>
        <w:t>W</w:t>
      </w:r>
      <w:r w:rsidRPr="004049E0">
        <w:rPr>
          <w:rFonts w:asciiTheme="minorHAnsi" w:eastAsia="Arial" w:hAnsiTheme="minorHAnsi"/>
          <w:spacing w:val="-3"/>
        </w:rPr>
        <w:t>h</w:t>
      </w:r>
      <w:r w:rsidRPr="004049E0">
        <w:rPr>
          <w:rFonts w:asciiTheme="minorHAnsi" w:eastAsia="Arial" w:hAnsiTheme="minorHAnsi"/>
          <w:spacing w:val="-1"/>
        </w:rPr>
        <w:t>il</w:t>
      </w:r>
      <w:r w:rsidRPr="004049E0">
        <w:rPr>
          <w:rFonts w:asciiTheme="minorHAnsi" w:eastAsia="Arial" w:hAnsiTheme="minorHAnsi"/>
        </w:rPr>
        <w:t>e</w:t>
      </w:r>
      <w:r w:rsidRPr="004049E0">
        <w:rPr>
          <w:rFonts w:asciiTheme="minorHAnsi" w:eastAsia="Arial" w:hAnsiTheme="minorHAnsi"/>
          <w:spacing w:val="1"/>
        </w:rPr>
        <w:t>t</w:t>
      </w:r>
      <w:r w:rsidRPr="004049E0">
        <w:rPr>
          <w:rFonts w:asciiTheme="minorHAnsi" w:eastAsia="Arial" w:hAnsiTheme="minorHAnsi"/>
        </w:rPr>
        <w:t>hee</w:t>
      </w:r>
      <w:r w:rsidRPr="004049E0">
        <w:rPr>
          <w:rFonts w:asciiTheme="minorHAnsi" w:eastAsia="Arial" w:hAnsiTheme="minorHAnsi"/>
          <w:spacing w:val="-3"/>
        </w:rPr>
        <w:t>x</w:t>
      </w:r>
      <w:r w:rsidRPr="004049E0">
        <w:rPr>
          <w:rFonts w:asciiTheme="minorHAnsi" w:eastAsia="Arial" w:hAnsiTheme="minorHAnsi"/>
        </w:rPr>
        <w:t>ch</w:t>
      </w:r>
      <w:r w:rsidRPr="004049E0">
        <w:rPr>
          <w:rFonts w:asciiTheme="minorHAnsi" w:eastAsia="Arial" w:hAnsiTheme="minorHAnsi"/>
          <w:spacing w:val="-1"/>
        </w:rPr>
        <w:t>a</w:t>
      </w:r>
      <w:r w:rsidRPr="004049E0">
        <w:rPr>
          <w:rFonts w:asciiTheme="minorHAnsi" w:eastAsia="Arial" w:hAnsiTheme="minorHAnsi"/>
        </w:rPr>
        <w:t>n</w:t>
      </w:r>
      <w:r w:rsidRPr="004049E0">
        <w:rPr>
          <w:rFonts w:asciiTheme="minorHAnsi" w:eastAsia="Arial" w:hAnsiTheme="minorHAnsi"/>
          <w:spacing w:val="1"/>
        </w:rPr>
        <w:t>g</w:t>
      </w:r>
      <w:r w:rsidRPr="004049E0">
        <w:rPr>
          <w:rFonts w:asciiTheme="minorHAnsi" w:eastAsia="Arial" w:hAnsiTheme="minorHAnsi"/>
        </w:rPr>
        <w:t>e</w:t>
      </w:r>
      <w:r w:rsidRPr="004049E0">
        <w:rPr>
          <w:rFonts w:asciiTheme="minorHAnsi" w:eastAsia="Arial" w:hAnsiTheme="minorHAnsi"/>
          <w:spacing w:val="1"/>
        </w:rPr>
        <w:t>r</w:t>
      </w:r>
      <w:r w:rsidRPr="004049E0">
        <w:rPr>
          <w:rFonts w:asciiTheme="minorHAnsi" w:eastAsia="Arial" w:hAnsiTheme="minorHAnsi"/>
        </w:rPr>
        <w:t>ate</w:t>
      </w:r>
      <w:r w:rsidRPr="004049E0">
        <w:rPr>
          <w:rFonts w:asciiTheme="minorHAnsi" w:eastAsia="Arial" w:hAnsiTheme="minorHAnsi"/>
          <w:spacing w:val="-1"/>
        </w:rPr>
        <w:t>appears now to be</w:t>
      </w:r>
      <w:r w:rsidRPr="004049E0">
        <w:rPr>
          <w:rFonts w:asciiTheme="minorHAnsi" w:eastAsia="Arial" w:hAnsiTheme="minorHAnsi"/>
        </w:rPr>
        <w:t>b</w:t>
      </w:r>
      <w:r w:rsidRPr="004049E0">
        <w:rPr>
          <w:rFonts w:asciiTheme="minorHAnsi" w:eastAsia="Arial" w:hAnsiTheme="minorHAnsi"/>
          <w:spacing w:val="-1"/>
        </w:rPr>
        <w:t>e</w:t>
      </w:r>
      <w:r w:rsidRPr="004049E0">
        <w:rPr>
          <w:rFonts w:asciiTheme="minorHAnsi" w:eastAsia="Arial" w:hAnsiTheme="minorHAnsi"/>
        </w:rPr>
        <w:t>comi</w:t>
      </w:r>
      <w:r w:rsidRPr="004049E0">
        <w:rPr>
          <w:rFonts w:asciiTheme="minorHAnsi" w:eastAsia="Arial" w:hAnsiTheme="minorHAnsi"/>
          <w:spacing w:val="-3"/>
        </w:rPr>
        <w:t>n</w:t>
      </w:r>
      <w:r w:rsidRPr="004049E0">
        <w:rPr>
          <w:rFonts w:asciiTheme="minorHAnsi" w:eastAsia="Arial" w:hAnsiTheme="minorHAnsi"/>
        </w:rPr>
        <w:t>g</w:t>
      </w:r>
      <w:r w:rsidRPr="004049E0">
        <w:rPr>
          <w:rFonts w:asciiTheme="minorHAnsi" w:eastAsia="Arial" w:hAnsiTheme="minorHAnsi"/>
          <w:spacing w:val="1"/>
        </w:rPr>
        <w:t>m</w:t>
      </w:r>
      <w:r w:rsidRPr="004049E0">
        <w:rPr>
          <w:rFonts w:asciiTheme="minorHAnsi" w:eastAsia="Arial" w:hAnsiTheme="minorHAnsi"/>
        </w:rPr>
        <w:t>ores</w:t>
      </w:r>
      <w:r w:rsidRPr="004049E0">
        <w:rPr>
          <w:rFonts w:asciiTheme="minorHAnsi" w:eastAsia="Arial" w:hAnsiTheme="minorHAnsi"/>
          <w:spacing w:val="1"/>
        </w:rPr>
        <w:t>t</w:t>
      </w:r>
      <w:r w:rsidRPr="004049E0">
        <w:rPr>
          <w:rFonts w:asciiTheme="minorHAnsi" w:eastAsia="Arial" w:hAnsiTheme="minorHAnsi"/>
        </w:rPr>
        <w:t>a</w:t>
      </w:r>
      <w:r w:rsidRPr="004049E0">
        <w:rPr>
          <w:rFonts w:asciiTheme="minorHAnsi" w:eastAsia="Arial" w:hAnsiTheme="minorHAnsi"/>
          <w:spacing w:val="-1"/>
        </w:rPr>
        <w:t>bl</w:t>
      </w:r>
      <w:r w:rsidRPr="004049E0">
        <w:rPr>
          <w:rFonts w:asciiTheme="minorHAnsi" w:eastAsia="Arial" w:hAnsiTheme="minorHAnsi"/>
        </w:rPr>
        <w:t>e, i</w:t>
      </w:r>
      <w:r w:rsidRPr="004049E0">
        <w:rPr>
          <w:rFonts w:asciiTheme="minorHAnsi" w:eastAsia="Arial" w:hAnsiTheme="minorHAnsi"/>
          <w:spacing w:val="-3"/>
        </w:rPr>
        <w:t>n</w:t>
      </w:r>
      <w:r w:rsidRPr="004049E0">
        <w:rPr>
          <w:rFonts w:asciiTheme="minorHAnsi" w:eastAsia="Arial" w:hAnsiTheme="minorHAnsi"/>
          <w:spacing w:val="3"/>
        </w:rPr>
        <w:t>f</w:t>
      </w:r>
      <w:r w:rsidRPr="004049E0">
        <w:rPr>
          <w:rFonts w:asciiTheme="minorHAnsi" w:eastAsia="Arial" w:hAnsiTheme="minorHAnsi"/>
          <w:spacing w:val="-1"/>
        </w:rPr>
        <w:t>l</w:t>
      </w:r>
      <w:r w:rsidRPr="004049E0">
        <w:rPr>
          <w:rFonts w:asciiTheme="minorHAnsi" w:eastAsia="Arial" w:hAnsiTheme="minorHAnsi"/>
          <w:spacing w:val="-3"/>
        </w:rPr>
        <w:t>a</w:t>
      </w:r>
      <w:r w:rsidRPr="004049E0">
        <w:rPr>
          <w:rFonts w:asciiTheme="minorHAnsi" w:eastAsia="Arial" w:hAnsiTheme="minorHAnsi"/>
          <w:spacing w:val="1"/>
        </w:rPr>
        <w:t>t</w:t>
      </w:r>
      <w:r w:rsidRPr="004049E0">
        <w:rPr>
          <w:rFonts w:asciiTheme="minorHAnsi" w:eastAsia="Arial" w:hAnsiTheme="minorHAnsi"/>
          <w:spacing w:val="-1"/>
        </w:rPr>
        <w:t>i</w:t>
      </w:r>
      <w:r w:rsidRPr="004049E0">
        <w:rPr>
          <w:rFonts w:asciiTheme="minorHAnsi" w:eastAsia="Arial" w:hAnsiTheme="minorHAnsi"/>
        </w:rPr>
        <w:t>on</w:t>
      </w:r>
      <w:r w:rsidRPr="004049E0">
        <w:rPr>
          <w:rFonts w:asciiTheme="minorHAnsi" w:eastAsia="Arial" w:hAnsiTheme="minorHAnsi"/>
          <w:spacing w:val="-2"/>
        </w:rPr>
        <w:t>r</w:t>
      </w:r>
      <w:r w:rsidRPr="004049E0">
        <w:rPr>
          <w:rFonts w:asciiTheme="minorHAnsi" w:eastAsia="Arial" w:hAnsiTheme="minorHAnsi"/>
        </w:rPr>
        <w:t>ema</w:t>
      </w:r>
      <w:r w:rsidRPr="004049E0">
        <w:rPr>
          <w:rFonts w:asciiTheme="minorHAnsi" w:eastAsia="Arial" w:hAnsiTheme="minorHAnsi"/>
          <w:spacing w:val="-1"/>
        </w:rPr>
        <w:t>i</w:t>
      </w:r>
      <w:r w:rsidRPr="004049E0">
        <w:rPr>
          <w:rFonts w:asciiTheme="minorHAnsi" w:eastAsia="Arial" w:hAnsiTheme="minorHAnsi"/>
        </w:rPr>
        <w:t>ns</w:t>
      </w:r>
      <w:r w:rsidRPr="004049E0">
        <w:rPr>
          <w:rFonts w:asciiTheme="minorHAnsi" w:eastAsia="Arial" w:hAnsiTheme="minorHAnsi"/>
          <w:spacing w:val="-3"/>
        </w:rPr>
        <w:t>a</w:t>
      </w:r>
      <w:r w:rsidRPr="004049E0">
        <w:rPr>
          <w:rFonts w:asciiTheme="minorHAnsi" w:eastAsia="Arial" w:hAnsiTheme="minorHAnsi"/>
        </w:rPr>
        <w:t xml:space="preserve">n </w:t>
      </w:r>
      <w:r w:rsidRPr="004049E0">
        <w:rPr>
          <w:rFonts w:asciiTheme="minorHAnsi" w:eastAsia="Arial" w:hAnsiTheme="minorHAnsi"/>
          <w:spacing w:val="-1"/>
        </w:rPr>
        <w:t>i</w:t>
      </w:r>
      <w:r w:rsidRPr="004049E0">
        <w:rPr>
          <w:rFonts w:asciiTheme="minorHAnsi" w:eastAsia="Arial" w:hAnsiTheme="minorHAnsi"/>
        </w:rPr>
        <w:t>ssuea</w:t>
      </w:r>
      <w:r w:rsidRPr="004049E0">
        <w:rPr>
          <w:rFonts w:asciiTheme="minorHAnsi" w:eastAsia="Arial" w:hAnsiTheme="minorHAnsi"/>
          <w:spacing w:val="-1"/>
        </w:rPr>
        <w:t>n</w:t>
      </w:r>
      <w:r w:rsidRPr="004049E0">
        <w:rPr>
          <w:rFonts w:asciiTheme="minorHAnsi" w:eastAsia="Arial" w:hAnsiTheme="minorHAnsi"/>
        </w:rPr>
        <w:t>dc</w:t>
      </w:r>
      <w:r w:rsidRPr="004049E0">
        <w:rPr>
          <w:rFonts w:asciiTheme="minorHAnsi" w:eastAsia="Arial" w:hAnsiTheme="minorHAnsi"/>
          <w:spacing w:val="-3"/>
        </w:rPr>
        <w:t>o</w:t>
      </w:r>
      <w:r w:rsidRPr="004049E0">
        <w:rPr>
          <w:rFonts w:asciiTheme="minorHAnsi" w:eastAsia="Arial" w:hAnsiTheme="minorHAnsi"/>
          <w:spacing w:val="1"/>
        </w:rPr>
        <w:t>mm</w:t>
      </w:r>
      <w:r w:rsidRPr="004049E0">
        <w:rPr>
          <w:rFonts w:asciiTheme="minorHAnsi" w:eastAsia="Arial" w:hAnsiTheme="minorHAnsi"/>
        </w:rPr>
        <w:t>o</w:t>
      </w:r>
      <w:r w:rsidRPr="004049E0">
        <w:rPr>
          <w:rFonts w:asciiTheme="minorHAnsi" w:eastAsia="Arial" w:hAnsiTheme="minorHAnsi"/>
          <w:spacing w:val="-1"/>
        </w:rPr>
        <w:t>di</w:t>
      </w:r>
      <w:r w:rsidRPr="004049E0">
        <w:rPr>
          <w:rFonts w:asciiTheme="minorHAnsi" w:eastAsia="Arial" w:hAnsiTheme="minorHAnsi"/>
          <w:spacing w:val="1"/>
        </w:rPr>
        <w:t>t</w:t>
      </w:r>
      <w:r w:rsidRPr="004049E0">
        <w:rPr>
          <w:rFonts w:asciiTheme="minorHAnsi" w:eastAsia="Arial" w:hAnsiTheme="minorHAnsi"/>
        </w:rPr>
        <w:t>yp</w:t>
      </w:r>
      <w:r w:rsidRPr="004049E0">
        <w:rPr>
          <w:rFonts w:asciiTheme="minorHAnsi" w:eastAsia="Arial" w:hAnsiTheme="minorHAnsi"/>
          <w:spacing w:val="-2"/>
        </w:rPr>
        <w:t>r</w:t>
      </w:r>
      <w:r w:rsidRPr="004049E0">
        <w:rPr>
          <w:rFonts w:asciiTheme="minorHAnsi" w:eastAsia="Arial" w:hAnsiTheme="minorHAnsi"/>
          <w:spacing w:val="-1"/>
        </w:rPr>
        <w:t>i</w:t>
      </w:r>
      <w:r w:rsidRPr="004049E0">
        <w:rPr>
          <w:rFonts w:asciiTheme="minorHAnsi" w:eastAsia="Arial" w:hAnsiTheme="minorHAnsi"/>
        </w:rPr>
        <w:t xml:space="preserve">cesareon </w:t>
      </w:r>
      <w:r w:rsidRPr="004049E0">
        <w:rPr>
          <w:rFonts w:asciiTheme="minorHAnsi" w:eastAsia="Arial" w:hAnsiTheme="minorHAnsi"/>
          <w:spacing w:val="1"/>
        </w:rPr>
        <w:t>t</w:t>
      </w:r>
      <w:r w:rsidRPr="004049E0">
        <w:rPr>
          <w:rFonts w:asciiTheme="minorHAnsi" w:eastAsia="Arial" w:hAnsiTheme="minorHAnsi"/>
        </w:rPr>
        <w:t xml:space="preserve">he </w:t>
      </w:r>
      <w:r w:rsidRPr="004049E0">
        <w:rPr>
          <w:rFonts w:asciiTheme="minorHAnsi" w:eastAsia="Arial" w:hAnsiTheme="minorHAnsi"/>
          <w:spacing w:val="1"/>
        </w:rPr>
        <w:t>r</w:t>
      </w:r>
      <w:r w:rsidRPr="004049E0">
        <w:rPr>
          <w:rFonts w:asciiTheme="minorHAnsi" w:eastAsia="Arial" w:hAnsiTheme="minorHAnsi"/>
          <w:spacing w:val="-1"/>
        </w:rPr>
        <w:t>i</w:t>
      </w:r>
      <w:r w:rsidRPr="004049E0">
        <w:rPr>
          <w:rFonts w:asciiTheme="minorHAnsi" w:eastAsia="Arial" w:hAnsiTheme="minorHAnsi"/>
        </w:rPr>
        <w:t xml:space="preserve">se. </w:t>
      </w:r>
      <w:r w:rsidRPr="004049E0">
        <w:rPr>
          <w:rFonts w:ascii="Arial" w:eastAsia="SimSun" w:hAnsi="Arial"/>
          <w:sz w:val="20"/>
          <w:szCs w:val="20"/>
          <w:u w:val="single"/>
          <w:lang w:eastAsia="zh-CN"/>
        </w:rPr>
        <w:t xml:space="preserve">Proposed mitigation. </w:t>
      </w:r>
      <w:r w:rsidRPr="004049E0">
        <w:rPr>
          <w:rFonts w:ascii="Arial" w:eastAsia="SimSun" w:hAnsi="Arial"/>
          <w:sz w:val="20"/>
          <w:szCs w:val="20"/>
          <w:lang w:eastAsia="zh-CN"/>
        </w:rPr>
        <w:t xml:space="preserve">An inflation rate of </w:t>
      </w:r>
      <w:r w:rsidR="00EA4090">
        <w:rPr>
          <w:rFonts w:ascii="Arial" w:eastAsia="SimSun" w:hAnsi="Arial"/>
          <w:sz w:val="20"/>
          <w:szCs w:val="20"/>
          <w:lang w:eastAsia="zh-CN"/>
        </w:rPr>
        <w:t>10% for human resources and 5% for everything else</w:t>
      </w:r>
      <w:r w:rsidRPr="004049E0">
        <w:rPr>
          <w:rFonts w:ascii="Arial" w:eastAsia="SimSun" w:hAnsi="Arial"/>
          <w:sz w:val="20"/>
          <w:szCs w:val="20"/>
          <w:lang w:eastAsia="zh-CN"/>
        </w:rPr>
        <w:t xml:space="preserve"> has been built into the NSPME budget. Where necessary shortfalls will be addressed during periodic reprogramming of GF funds.</w:t>
      </w:r>
    </w:p>
    <w:p w:rsidR="00D31191" w:rsidRPr="004049E0" w:rsidRDefault="00D31191" w:rsidP="007205D8">
      <w:pPr>
        <w:pStyle w:val="ListParagraph"/>
        <w:keepNext/>
        <w:keepLines/>
        <w:numPr>
          <w:ilvl w:val="0"/>
          <w:numId w:val="10"/>
        </w:numPr>
        <w:spacing w:after="120" w:line="240" w:lineRule="auto"/>
        <w:outlineLvl w:val="1"/>
        <w:rPr>
          <w:rFonts w:ascii="Arial" w:eastAsia="Times New Roman" w:hAnsi="Arial"/>
          <w:b/>
          <w:sz w:val="20"/>
          <w:szCs w:val="20"/>
          <w:lang w:eastAsia="en-GB"/>
        </w:rPr>
      </w:pPr>
      <w:r w:rsidRPr="004049E0">
        <w:rPr>
          <w:rFonts w:asciiTheme="minorHAnsi" w:eastAsia="Arial" w:hAnsiTheme="minorHAnsi"/>
          <w:spacing w:val="-3"/>
        </w:rPr>
        <w:t>Access. The extreme re</w:t>
      </w:r>
      <w:r w:rsidRPr="004049E0">
        <w:rPr>
          <w:rFonts w:asciiTheme="minorHAnsi" w:eastAsia="Arial" w:hAnsiTheme="minorHAnsi"/>
          <w:spacing w:val="1"/>
        </w:rPr>
        <w:t>m</w:t>
      </w:r>
      <w:r w:rsidRPr="004049E0">
        <w:rPr>
          <w:rFonts w:asciiTheme="minorHAnsi" w:eastAsia="Arial" w:hAnsiTheme="minorHAnsi"/>
        </w:rPr>
        <w:t>oten</w:t>
      </w:r>
      <w:r w:rsidRPr="004049E0">
        <w:rPr>
          <w:rFonts w:asciiTheme="minorHAnsi" w:eastAsia="Arial" w:hAnsiTheme="minorHAnsi"/>
          <w:spacing w:val="-3"/>
        </w:rPr>
        <w:t>e</w:t>
      </w:r>
      <w:r w:rsidRPr="004049E0">
        <w:rPr>
          <w:rFonts w:asciiTheme="minorHAnsi" w:eastAsia="Arial" w:hAnsiTheme="minorHAnsi"/>
        </w:rPr>
        <w:t>ssof some areas is often compounded by p</w:t>
      </w:r>
      <w:r w:rsidRPr="004049E0">
        <w:rPr>
          <w:rFonts w:asciiTheme="minorHAnsi" w:eastAsia="Arial" w:hAnsiTheme="minorHAnsi"/>
          <w:spacing w:val="-3"/>
        </w:rPr>
        <w:t>o</w:t>
      </w:r>
      <w:r w:rsidRPr="004049E0">
        <w:rPr>
          <w:rFonts w:asciiTheme="minorHAnsi" w:eastAsia="Arial" w:hAnsiTheme="minorHAnsi"/>
        </w:rPr>
        <w:t>or p</w:t>
      </w:r>
      <w:r w:rsidRPr="004049E0">
        <w:rPr>
          <w:rFonts w:asciiTheme="minorHAnsi" w:eastAsia="Arial" w:hAnsiTheme="minorHAnsi"/>
          <w:spacing w:val="-1"/>
        </w:rPr>
        <w:t>h</w:t>
      </w:r>
      <w:r w:rsidRPr="004049E0">
        <w:rPr>
          <w:rFonts w:asciiTheme="minorHAnsi" w:eastAsia="Arial" w:hAnsiTheme="minorHAnsi"/>
          <w:spacing w:val="-2"/>
        </w:rPr>
        <w:t>y</w:t>
      </w:r>
      <w:r w:rsidRPr="004049E0">
        <w:rPr>
          <w:rFonts w:asciiTheme="minorHAnsi" w:eastAsia="Arial" w:hAnsiTheme="minorHAnsi"/>
        </w:rPr>
        <w:t>s</w:t>
      </w:r>
      <w:r w:rsidRPr="004049E0">
        <w:rPr>
          <w:rFonts w:asciiTheme="minorHAnsi" w:eastAsia="Arial" w:hAnsiTheme="minorHAnsi"/>
          <w:spacing w:val="-1"/>
        </w:rPr>
        <w:t>i</w:t>
      </w:r>
      <w:r w:rsidRPr="004049E0">
        <w:rPr>
          <w:rFonts w:asciiTheme="minorHAnsi" w:eastAsia="Arial" w:hAnsiTheme="minorHAnsi"/>
        </w:rPr>
        <w:t xml:space="preserve">cal </w:t>
      </w:r>
      <w:r w:rsidRPr="004049E0">
        <w:rPr>
          <w:rFonts w:asciiTheme="minorHAnsi" w:eastAsia="Arial" w:hAnsiTheme="minorHAnsi"/>
          <w:spacing w:val="-1"/>
        </w:rPr>
        <w:t>i</w:t>
      </w:r>
      <w:r w:rsidRPr="004049E0">
        <w:rPr>
          <w:rFonts w:asciiTheme="minorHAnsi" w:eastAsia="Arial" w:hAnsiTheme="minorHAnsi"/>
        </w:rPr>
        <w:t>n</w:t>
      </w:r>
      <w:r w:rsidRPr="004049E0">
        <w:rPr>
          <w:rFonts w:asciiTheme="minorHAnsi" w:eastAsia="Arial" w:hAnsiTheme="minorHAnsi"/>
          <w:spacing w:val="3"/>
        </w:rPr>
        <w:t>f</w:t>
      </w:r>
      <w:r w:rsidRPr="004049E0">
        <w:rPr>
          <w:rFonts w:asciiTheme="minorHAnsi" w:eastAsia="Arial" w:hAnsiTheme="minorHAnsi"/>
          <w:spacing w:val="1"/>
        </w:rPr>
        <w:t>r</w:t>
      </w:r>
      <w:r w:rsidRPr="004049E0">
        <w:rPr>
          <w:rFonts w:asciiTheme="minorHAnsi" w:eastAsia="Arial" w:hAnsiTheme="minorHAnsi"/>
        </w:rPr>
        <w:t>a</w:t>
      </w:r>
      <w:r w:rsidRPr="004049E0">
        <w:rPr>
          <w:rFonts w:asciiTheme="minorHAnsi" w:eastAsia="Arial" w:hAnsiTheme="minorHAnsi"/>
          <w:spacing w:val="-3"/>
        </w:rPr>
        <w:t>s</w:t>
      </w:r>
      <w:r w:rsidRPr="004049E0">
        <w:rPr>
          <w:rFonts w:asciiTheme="minorHAnsi" w:eastAsia="Arial" w:hAnsiTheme="minorHAnsi"/>
          <w:spacing w:val="1"/>
        </w:rPr>
        <w:t>tr</w:t>
      </w:r>
      <w:r w:rsidRPr="004049E0">
        <w:rPr>
          <w:rFonts w:asciiTheme="minorHAnsi" w:eastAsia="Arial" w:hAnsiTheme="minorHAnsi"/>
        </w:rPr>
        <w:t>u</w:t>
      </w:r>
      <w:r w:rsidRPr="004049E0">
        <w:rPr>
          <w:rFonts w:asciiTheme="minorHAnsi" w:eastAsia="Arial" w:hAnsiTheme="minorHAnsi"/>
          <w:spacing w:val="-3"/>
        </w:rPr>
        <w:t>c</w:t>
      </w:r>
      <w:r w:rsidRPr="004049E0">
        <w:rPr>
          <w:rFonts w:asciiTheme="minorHAnsi" w:eastAsia="Arial" w:hAnsiTheme="minorHAnsi"/>
          <w:spacing w:val="1"/>
        </w:rPr>
        <w:t>t</w:t>
      </w:r>
      <w:r w:rsidRPr="004049E0">
        <w:rPr>
          <w:rFonts w:asciiTheme="minorHAnsi" w:eastAsia="Arial" w:hAnsiTheme="minorHAnsi"/>
          <w:spacing w:val="-3"/>
        </w:rPr>
        <w:t>u</w:t>
      </w:r>
      <w:r w:rsidRPr="004049E0">
        <w:rPr>
          <w:rFonts w:asciiTheme="minorHAnsi" w:eastAsia="Arial" w:hAnsiTheme="minorHAnsi"/>
          <w:spacing w:val="1"/>
        </w:rPr>
        <w:t>r</w:t>
      </w:r>
      <w:r w:rsidRPr="004049E0">
        <w:rPr>
          <w:rFonts w:asciiTheme="minorHAnsi" w:eastAsia="Arial" w:hAnsiTheme="minorHAnsi"/>
        </w:rPr>
        <w:t xml:space="preserve">e </w:t>
      </w:r>
      <w:r w:rsidRPr="004049E0">
        <w:rPr>
          <w:rFonts w:asciiTheme="minorHAnsi" w:eastAsia="Arial" w:hAnsiTheme="minorHAnsi"/>
          <w:spacing w:val="1"/>
        </w:rPr>
        <w:t>making access limited, particularly during the rainy season</w:t>
      </w:r>
      <w:r w:rsidRPr="004049E0">
        <w:rPr>
          <w:rFonts w:asciiTheme="minorHAnsi" w:eastAsia="Arial" w:hAnsiTheme="minorHAnsi"/>
        </w:rPr>
        <w:t xml:space="preserve">. </w:t>
      </w:r>
      <w:r w:rsidRPr="004049E0">
        <w:rPr>
          <w:rFonts w:ascii="Arial" w:eastAsia="SimSun" w:hAnsi="Arial"/>
          <w:sz w:val="20"/>
          <w:szCs w:val="20"/>
          <w:u w:val="single"/>
          <w:lang w:eastAsia="zh-CN"/>
        </w:rPr>
        <w:t xml:space="preserve">Proposed mitigation. </w:t>
      </w:r>
      <w:r w:rsidRPr="004049E0">
        <w:rPr>
          <w:rFonts w:ascii="Arial" w:eastAsia="SimSun" w:hAnsi="Arial"/>
          <w:sz w:val="20"/>
          <w:szCs w:val="20"/>
          <w:lang w:eastAsia="zh-CN"/>
        </w:rPr>
        <w:t>The timing of visits to remote areas will be planned taking seasonal constraints into consideration. Additional funds for accessing hard to reach target communities have been incorporated into the budget.</w:t>
      </w:r>
    </w:p>
    <w:p w:rsidR="00D31191" w:rsidRPr="004049E0" w:rsidRDefault="00D31191" w:rsidP="007205D8">
      <w:pPr>
        <w:pStyle w:val="ListParagraph"/>
        <w:keepNext/>
        <w:keepLines/>
        <w:numPr>
          <w:ilvl w:val="0"/>
          <w:numId w:val="10"/>
        </w:numPr>
        <w:spacing w:after="120" w:line="240" w:lineRule="auto"/>
        <w:outlineLvl w:val="1"/>
        <w:rPr>
          <w:rFonts w:ascii="Arial" w:eastAsia="Times New Roman" w:hAnsi="Arial"/>
          <w:b/>
          <w:sz w:val="20"/>
          <w:szCs w:val="20"/>
          <w:lang w:eastAsia="en-GB"/>
        </w:rPr>
      </w:pPr>
      <w:r w:rsidRPr="004049E0">
        <w:rPr>
          <w:rFonts w:asciiTheme="minorHAnsi" w:eastAsia="Arial" w:hAnsiTheme="minorHAnsi"/>
          <w:spacing w:val="1"/>
        </w:rPr>
        <w:t>Health system weaknesses. I</w:t>
      </w:r>
      <w:r w:rsidRPr="004049E0">
        <w:rPr>
          <w:rFonts w:asciiTheme="minorHAnsi" w:eastAsia="Arial" w:hAnsiTheme="minorHAnsi"/>
        </w:rPr>
        <w:t>n</w:t>
      </w:r>
      <w:r w:rsidRPr="004049E0">
        <w:rPr>
          <w:rFonts w:asciiTheme="minorHAnsi" w:eastAsia="Arial" w:hAnsiTheme="minorHAnsi"/>
          <w:spacing w:val="-1"/>
        </w:rPr>
        <w:t>h</w:t>
      </w:r>
      <w:r w:rsidRPr="004049E0">
        <w:rPr>
          <w:rFonts w:asciiTheme="minorHAnsi" w:eastAsia="Arial" w:hAnsiTheme="minorHAnsi"/>
        </w:rPr>
        <w:t>ere</w:t>
      </w:r>
      <w:r w:rsidRPr="004049E0">
        <w:rPr>
          <w:rFonts w:asciiTheme="minorHAnsi" w:eastAsia="Arial" w:hAnsiTheme="minorHAnsi"/>
          <w:spacing w:val="-3"/>
        </w:rPr>
        <w:t>n</w:t>
      </w:r>
      <w:r w:rsidRPr="004049E0">
        <w:rPr>
          <w:rFonts w:asciiTheme="minorHAnsi" w:eastAsia="Arial" w:hAnsiTheme="minorHAnsi"/>
        </w:rPr>
        <w:t>t</w:t>
      </w:r>
      <w:r w:rsidRPr="004049E0">
        <w:rPr>
          <w:rFonts w:asciiTheme="minorHAnsi" w:eastAsia="Arial" w:hAnsiTheme="minorHAnsi"/>
          <w:spacing w:val="-3"/>
        </w:rPr>
        <w:t>w</w:t>
      </w:r>
      <w:r w:rsidRPr="004049E0">
        <w:rPr>
          <w:rFonts w:asciiTheme="minorHAnsi" w:eastAsia="Arial" w:hAnsiTheme="minorHAnsi"/>
        </w:rPr>
        <w:t>e</w:t>
      </w:r>
      <w:r w:rsidRPr="004049E0">
        <w:rPr>
          <w:rFonts w:asciiTheme="minorHAnsi" w:eastAsia="Arial" w:hAnsiTheme="minorHAnsi"/>
          <w:spacing w:val="-1"/>
        </w:rPr>
        <w:t>a</w:t>
      </w:r>
      <w:r w:rsidRPr="004049E0">
        <w:rPr>
          <w:rFonts w:asciiTheme="minorHAnsi" w:eastAsia="Arial" w:hAnsiTheme="minorHAnsi"/>
          <w:spacing w:val="2"/>
        </w:rPr>
        <w:t>k</w:t>
      </w:r>
      <w:r w:rsidRPr="004049E0">
        <w:rPr>
          <w:rFonts w:asciiTheme="minorHAnsi" w:eastAsia="Arial" w:hAnsiTheme="minorHAnsi"/>
        </w:rPr>
        <w:t>n</w:t>
      </w:r>
      <w:r w:rsidRPr="004049E0">
        <w:rPr>
          <w:rFonts w:asciiTheme="minorHAnsi" w:eastAsia="Arial" w:hAnsiTheme="minorHAnsi"/>
          <w:spacing w:val="-1"/>
        </w:rPr>
        <w:t>e</w:t>
      </w:r>
      <w:r w:rsidRPr="004049E0">
        <w:rPr>
          <w:rFonts w:asciiTheme="minorHAnsi" w:eastAsia="Arial" w:hAnsiTheme="minorHAnsi"/>
        </w:rPr>
        <w:t>sses</w:t>
      </w:r>
      <w:r w:rsidRPr="004049E0">
        <w:rPr>
          <w:rFonts w:asciiTheme="minorHAnsi" w:eastAsia="Arial" w:hAnsiTheme="minorHAnsi"/>
          <w:spacing w:val="-1"/>
        </w:rPr>
        <w:t>i</w:t>
      </w:r>
      <w:r w:rsidRPr="004049E0">
        <w:rPr>
          <w:rFonts w:asciiTheme="minorHAnsi" w:eastAsia="Arial" w:hAnsiTheme="minorHAnsi"/>
        </w:rPr>
        <w:t>n</w:t>
      </w:r>
      <w:r w:rsidRPr="004049E0">
        <w:rPr>
          <w:rFonts w:asciiTheme="minorHAnsi" w:eastAsia="Arial" w:hAnsiTheme="minorHAnsi"/>
          <w:spacing w:val="1"/>
        </w:rPr>
        <w:t>t</w:t>
      </w:r>
      <w:r w:rsidRPr="004049E0">
        <w:rPr>
          <w:rFonts w:asciiTheme="minorHAnsi" w:eastAsia="Arial" w:hAnsiTheme="minorHAnsi"/>
        </w:rPr>
        <w:t>heh</w:t>
      </w:r>
      <w:r w:rsidRPr="004049E0">
        <w:rPr>
          <w:rFonts w:asciiTheme="minorHAnsi" w:eastAsia="Arial" w:hAnsiTheme="minorHAnsi"/>
          <w:spacing w:val="-1"/>
        </w:rPr>
        <w:t>e</w:t>
      </w:r>
      <w:r w:rsidRPr="004049E0">
        <w:rPr>
          <w:rFonts w:asciiTheme="minorHAnsi" w:eastAsia="Arial" w:hAnsiTheme="minorHAnsi"/>
        </w:rPr>
        <w:t>a</w:t>
      </w:r>
      <w:r w:rsidRPr="004049E0">
        <w:rPr>
          <w:rFonts w:asciiTheme="minorHAnsi" w:eastAsia="Arial" w:hAnsiTheme="minorHAnsi"/>
          <w:spacing w:val="-1"/>
        </w:rPr>
        <w:t>l</w:t>
      </w:r>
      <w:r w:rsidRPr="004049E0">
        <w:rPr>
          <w:rFonts w:asciiTheme="minorHAnsi" w:eastAsia="Arial" w:hAnsiTheme="minorHAnsi"/>
          <w:spacing w:val="1"/>
        </w:rPr>
        <w:t>t</w:t>
      </w:r>
      <w:r w:rsidRPr="004049E0">
        <w:rPr>
          <w:rFonts w:asciiTheme="minorHAnsi" w:eastAsia="Arial" w:hAnsiTheme="minorHAnsi"/>
        </w:rPr>
        <w:t>hs</w:t>
      </w:r>
      <w:r w:rsidRPr="004049E0">
        <w:rPr>
          <w:rFonts w:asciiTheme="minorHAnsi" w:eastAsia="Arial" w:hAnsiTheme="minorHAnsi"/>
          <w:spacing w:val="-2"/>
        </w:rPr>
        <w:t>y</w:t>
      </w:r>
      <w:r w:rsidRPr="004049E0">
        <w:rPr>
          <w:rFonts w:asciiTheme="minorHAnsi" w:eastAsia="Arial" w:hAnsiTheme="minorHAnsi"/>
        </w:rPr>
        <w:t>s</w:t>
      </w:r>
      <w:r w:rsidRPr="004049E0">
        <w:rPr>
          <w:rFonts w:asciiTheme="minorHAnsi" w:eastAsia="Arial" w:hAnsiTheme="minorHAnsi"/>
          <w:spacing w:val="1"/>
        </w:rPr>
        <w:t>t</w:t>
      </w:r>
      <w:r w:rsidRPr="004049E0">
        <w:rPr>
          <w:rFonts w:asciiTheme="minorHAnsi" w:eastAsia="Arial" w:hAnsiTheme="minorHAnsi"/>
        </w:rPr>
        <w:t>ems</w:t>
      </w:r>
      <w:r w:rsidRPr="004049E0">
        <w:rPr>
          <w:rFonts w:asciiTheme="minorHAnsi" w:eastAsia="Arial" w:hAnsiTheme="minorHAnsi"/>
          <w:spacing w:val="-3"/>
        </w:rPr>
        <w:t>o</w:t>
      </w:r>
      <w:r w:rsidRPr="004049E0">
        <w:rPr>
          <w:rFonts w:asciiTheme="minorHAnsi" w:eastAsia="Arial" w:hAnsiTheme="minorHAnsi"/>
          <w:spacing w:val="3"/>
        </w:rPr>
        <w:t>f</w:t>
      </w:r>
      <w:r w:rsidRPr="004049E0">
        <w:rPr>
          <w:rFonts w:asciiTheme="minorHAnsi" w:eastAsia="Arial" w:hAnsiTheme="minorHAnsi"/>
          <w:spacing w:val="-1"/>
        </w:rPr>
        <w:t>t</w:t>
      </w:r>
      <w:r w:rsidRPr="004049E0">
        <w:rPr>
          <w:rFonts w:asciiTheme="minorHAnsi" w:eastAsia="Arial" w:hAnsiTheme="minorHAnsi"/>
        </w:rPr>
        <w:t>en</w:t>
      </w:r>
      <w:r w:rsidRPr="004049E0">
        <w:rPr>
          <w:rFonts w:asciiTheme="minorHAnsi" w:eastAsia="Arial" w:hAnsiTheme="minorHAnsi"/>
          <w:spacing w:val="-1"/>
        </w:rPr>
        <w:t>li</w:t>
      </w:r>
      <w:r w:rsidRPr="004049E0">
        <w:rPr>
          <w:rFonts w:asciiTheme="minorHAnsi" w:eastAsia="Arial" w:hAnsiTheme="minorHAnsi"/>
          <w:spacing w:val="1"/>
        </w:rPr>
        <w:t>m</w:t>
      </w:r>
      <w:r w:rsidRPr="004049E0">
        <w:rPr>
          <w:rFonts w:asciiTheme="minorHAnsi" w:eastAsia="Arial" w:hAnsiTheme="minorHAnsi"/>
          <w:spacing w:val="-1"/>
        </w:rPr>
        <w:t>i</w:t>
      </w:r>
      <w:r w:rsidRPr="004049E0">
        <w:rPr>
          <w:rFonts w:asciiTheme="minorHAnsi" w:eastAsia="Arial" w:hAnsiTheme="minorHAnsi"/>
        </w:rPr>
        <w:t>t</w:t>
      </w:r>
      <w:r w:rsidRPr="004049E0">
        <w:rPr>
          <w:rFonts w:asciiTheme="minorHAnsi" w:eastAsia="Arial" w:hAnsiTheme="minorHAnsi"/>
          <w:spacing w:val="1"/>
        </w:rPr>
        <w:t>t</w:t>
      </w:r>
      <w:r w:rsidRPr="004049E0">
        <w:rPr>
          <w:rFonts w:asciiTheme="minorHAnsi" w:eastAsia="Arial" w:hAnsiTheme="minorHAnsi"/>
        </w:rPr>
        <w:t>he</w:t>
      </w:r>
      <w:r w:rsidRPr="004049E0">
        <w:rPr>
          <w:rFonts w:asciiTheme="minorHAnsi" w:eastAsia="Arial" w:hAnsiTheme="minorHAnsi"/>
          <w:spacing w:val="2"/>
        </w:rPr>
        <w:t xml:space="preserve"> q</w:t>
      </w:r>
      <w:r w:rsidRPr="004049E0">
        <w:rPr>
          <w:rFonts w:asciiTheme="minorHAnsi" w:eastAsia="Arial" w:hAnsiTheme="minorHAnsi"/>
        </w:rPr>
        <w:t>u</w:t>
      </w:r>
      <w:r w:rsidRPr="004049E0">
        <w:rPr>
          <w:rFonts w:asciiTheme="minorHAnsi" w:eastAsia="Arial" w:hAnsiTheme="minorHAnsi"/>
          <w:spacing w:val="-1"/>
        </w:rPr>
        <w:t>ali</w:t>
      </w:r>
      <w:r w:rsidRPr="004049E0">
        <w:rPr>
          <w:rFonts w:asciiTheme="minorHAnsi" w:eastAsia="Arial" w:hAnsiTheme="minorHAnsi"/>
          <w:spacing w:val="1"/>
        </w:rPr>
        <w:t>t</w:t>
      </w:r>
      <w:r w:rsidRPr="004049E0">
        <w:rPr>
          <w:rFonts w:asciiTheme="minorHAnsi" w:eastAsia="Arial" w:hAnsiTheme="minorHAnsi"/>
        </w:rPr>
        <w:t>y ofser</w:t>
      </w:r>
      <w:r w:rsidRPr="004049E0">
        <w:rPr>
          <w:rFonts w:asciiTheme="minorHAnsi" w:eastAsia="Arial" w:hAnsiTheme="minorHAnsi"/>
          <w:spacing w:val="-2"/>
        </w:rPr>
        <w:t>v</w:t>
      </w:r>
      <w:r w:rsidRPr="004049E0">
        <w:rPr>
          <w:rFonts w:asciiTheme="minorHAnsi" w:eastAsia="Arial" w:hAnsiTheme="minorHAnsi"/>
          <w:spacing w:val="-1"/>
        </w:rPr>
        <w:t>i</w:t>
      </w:r>
      <w:r w:rsidRPr="004049E0">
        <w:rPr>
          <w:rFonts w:asciiTheme="minorHAnsi" w:eastAsia="Arial" w:hAnsiTheme="minorHAnsi"/>
        </w:rPr>
        <w:t xml:space="preserve">ces. </w:t>
      </w:r>
      <w:r w:rsidRPr="004049E0">
        <w:rPr>
          <w:rFonts w:ascii="Arial" w:eastAsia="SimSun" w:hAnsi="Arial"/>
          <w:sz w:val="20"/>
          <w:szCs w:val="20"/>
          <w:u w:val="single"/>
          <w:lang w:eastAsia="zh-CN"/>
        </w:rPr>
        <w:t>Proposed mitigation</w:t>
      </w:r>
      <w:r w:rsidRPr="004049E0">
        <w:rPr>
          <w:rFonts w:ascii="Arial" w:eastAsia="SimSun" w:hAnsi="Arial"/>
          <w:sz w:val="20"/>
          <w:szCs w:val="20"/>
          <w:lang w:eastAsia="zh-CN"/>
        </w:rPr>
        <w:t xml:space="preserve">. Malaria related health system strengthening activities have been incorporated into </w:t>
      </w:r>
      <w:r w:rsidR="00EA4090">
        <w:rPr>
          <w:rFonts w:ascii="Arial" w:eastAsia="SimSun" w:hAnsi="Arial"/>
          <w:sz w:val="20"/>
          <w:szCs w:val="20"/>
          <w:lang w:eastAsia="zh-CN"/>
        </w:rPr>
        <w:t>the TB</w:t>
      </w:r>
      <w:r w:rsidRPr="004049E0">
        <w:rPr>
          <w:rFonts w:ascii="Arial" w:eastAsia="SimSun" w:hAnsi="Arial"/>
          <w:sz w:val="20"/>
          <w:szCs w:val="20"/>
          <w:lang w:eastAsia="zh-CN"/>
        </w:rPr>
        <w:t>application (</w:t>
      </w:r>
      <w:r w:rsidR="00EA4090">
        <w:rPr>
          <w:rFonts w:ascii="Arial" w:eastAsia="SimSun" w:hAnsi="Arial"/>
          <w:sz w:val="20"/>
          <w:szCs w:val="20"/>
          <w:lang w:eastAsia="zh-CN"/>
        </w:rPr>
        <w:t>see section 2.2.above</w:t>
      </w:r>
      <w:r w:rsidRPr="004049E0">
        <w:rPr>
          <w:rFonts w:ascii="Arial" w:eastAsia="SimSun" w:hAnsi="Arial"/>
          <w:sz w:val="20"/>
          <w:szCs w:val="20"/>
          <w:lang w:eastAsia="zh-CN"/>
        </w:rPr>
        <w:t xml:space="preserve">). Extensive use of volunteer networks </w:t>
      </w:r>
      <w:r w:rsidR="004049E0" w:rsidRPr="004049E0">
        <w:rPr>
          <w:rFonts w:ascii="Arial" w:eastAsia="SimSun" w:hAnsi="Arial"/>
          <w:sz w:val="20"/>
          <w:szCs w:val="20"/>
          <w:lang w:eastAsia="zh-CN"/>
        </w:rPr>
        <w:t xml:space="preserve">and collaboration with the army and with border guards </w:t>
      </w:r>
      <w:r w:rsidRPr="004049E0">
        <w:rPr>
          <w:rFonts w:ascii="Arial" w:eastAsia="SimSun" w:hAnsi="Arial"/>
          <w:sz w:val="20"/>
          <w:szCs w:val="20"/>
          <w:lang w:eastAsia="zh-CN"/>
        </w:rPr>
        <w:t xml:space="preserve">to provide malaria related services in less accessible communities </w:t>
      </w:r>
      <w:r w:rsidR="007D3237">
        <w:rPr>
          <w:rFonts w:ascii="Arial" w:eastAsia="SimSun" w:hAnsi="Arial"/>
          <w:sz w:val="20"/>
          <w:szCs w:val="20"/>
          <w:lang w:eastAsia="zh-CN"/>
        </w:rPr>
        <w:t xml:space="preserve">will </w:t>
      </w:r>
      <w:r w:rsidRPr="004049E0">
        <w:rPr>
          <w:rFonts w:ascii="Arial" w:eastAsia="SimSun" w:hAnsi="Arial"/>
          <w:sz w:val="20"/>
          <w:szCs w:val="20"/>
          <w:lang w:eastAsia="zh-CN"/>
        </w:rPr>
        <w:t>solve some of the issues associated with access and at the same time reduce the burden on overstretched health workers, particularly in the periphery.</w:t>
      </w:r>
    </w:p>
    <w:p w:rsidR="00D31191" w:rsidRPr="004049E0" w:rsidRDefault="00D31191" w:rsidP="007205D8">
      <w:pPr>
        <w:pStyle w:val="ListParagraph"/>
        <w:keepNext/>
        <w:keepLines/>
        <w:numPr>
          <w:ilvl w:val="0"/>
          <w:numId w:val="10"/>
        </w:numPr>
        <w:spacing w:after="120" w:line="240" w:lineRule="auto"/>
        <w:outlineLvl w:val="1"/>
        <w:rPr>
          <w:rFonts w:ascii="Arial" w:eastAsia="Times New Roman" w:hAnsi="Arial"/>
          <w:b/>
          <w:sz w:val="20"/>
          <w:szCs w:val="20"/>
          <w:lang w:eastAsia="en-GB"/>
        </w:rPr>
      </w:pPr>
      <w:r w:rsidRPr="004049E0">
        <w:rPr>
          <w:rFonts w:ascii="Arial" w:eastAsia="Times New Roman" w:hAnsi="Arial"/>
          <w:sz w:val="20"/>
          <w:szCs w:val="20"/>
          <w:lang w:eastAsia="en-GB"/>
        </w:rPr>
        <w:t xml:space="preserve">Lack of sustained political commitment for malaria elimination and failure of the Government </w:t>
      </w:r>
      <w:r w:rsidR="004049E0" w:rsidRPr="004049E0">
        <w:rPr>
          <w:rFonts w:ascii="Arial" w:eastAsia="Times New Roman" w:hAnsi="Arial"/>
          <w:sz w:val="20"/>
          <w:szCs w:val="20"/>
          <w:lang w:eastAsia="en-GB"/>
        </w:rPr>
        <w:t xml:space="preserve">of Bangladesh </w:t>
      </w:r>
      <w:r w:rsidRPr="004049E0">
        <w:rPr>
          <w:rFonts w:ascii="Arial" w:eastAsia="Times New Roman" w:hAnsi="Arial"/>
          <w:sz w:val="20"/>
          <w:szCs w:val="20"/>
          <w:lang w:eastAsia="en-GB"/>
        </w:rPr>
        <w:t xml:space="preserve">to deploy increased domestic and foreign investment for malaria control and elimination. </w:t>
      </w:r>
      <w:r w:rsidRPr="004049E0">
        <w:rPr>
          <w:rFonts w:ascii="Arial" w:eastAsia="SimSun" w:hAnsi="Arial"/>
          <w:sz w:val="20"/>
          <w:szCs w:val="20"/>
          <w:u w:val="single"/>
          <w:lang w:eastAsia="zh-CN"/>
        </w:rPr>
        <w:t>Proposed mitigation</w:t>
      </w:r>
      <w:r w:rsidRPr="004049E0">
        <w:rPr>
          <w:rFonts w:ascii="Arial" w:eastAsia="SimSun" w:hAnsi="Arial"/>
          <w:sz w:val="20"/>
          <w:szCs w:val="20"/>
          <w:lang w:eastAsia="zh-CN"/>
        </w:rPr>
        <w:t xml:space="preserve">. </w:t>
      </w:r>
      <w:r w:rsidR="007D3237">
        <w:rPr>
          <w:rFonts w:ascii="Arial" w:eastAsia="SimSun" w:hAnsi="Arial"/>
          <w:sz w:val="20"/>
          <w:szCs w:val="20"/>
          <w:lang w:eastAsia="zh-CN"/>
        </w:rPr>
        <w:t>A</w:t>
      </w:r>
      <w:r w:rsidRPr="004049E0">
        <w:rPr>
          <w:rFonts w:ascii="Arial" w:eastAsia="SimSun" w:hAnsi="Arial"/>
          <w:sz w:val="20"/>
          <w:szCs w:val="20"/>
          <w:lang w:eastAsia="zh-CN"/>
        </w:rPr>
        <w:t xml:space="preserve"> strong advocacy strategy will be </w:t>
      </w:r>
      <w:r w:rsidR="000A35C7">
        <w:rPr>
          <w:rFonts w:ascii="Arial" w:eastAsia="SimSun" w:hAnsi="Arial"/>
          <w:sz w:val="20"/>
          <w:szCs w:val="20"/>
          <w:lang w:eastAsia="zh-CN"/>
        </w:rPr>
        <w:t>put in place</w:t>
      </w:r>
      <w:r w:rsidRPr="004049E0">
        <w:rPr>
          <w:rFonts w:ascii="Arial" w:eastAsia="SimSun" w:hAnsi="Arial"/>
          <w:sz w:val="20"/>
          <w:szCs w:val="20"/>
          <w:lang w:eastAsia="zh-CN"/>
        </w:rPr>
        <w:t xml:space="preserve"> to obtain political commitment at all levels.</w:t>
      </w:r>
    </w:p>
    <w:p w:rsidR="00D31191" w:rsidRPr="004049E0" w:rsidRDefault="00D31191" w:rsidP="007205D8">
      <w:pPr>
        <w:pStyle w:val="ListParagraph"/>
        <w:keepNext/>
        <w:keepLines/>
        <w:numPr>
          <w:ilvl w:val="0"/>
          <w:numId w:val="10"/>
        </w:numPr>
        <w:spacing w:after="120" w:line="240" w:lineRule="auto"/>
        <w:outlineLvl w:val="1"/>
        <w:rPr>
          <w:rFonts w:ascii="Arial" w:eastAsia="Times New Roman" w:hAnsi="Arial"/>
          <w:b/>
          <w:sz w:val="20"/>
          <w:szCs w:val="20"/>
          <w:lang w:eastAsia="en-GB"/>
        </w:rPr>
      </w:pPr>
      <w:r w:rsidRPr="004049E0">
        <w:rPr>
          <w:rFonts w:ascii="Arial" w:eastAsia="Times New Roman" w:hAnsi="Arial"/>
          <w:sz w:val="20"/>
          <w:szCs w:val="20"/>
          <w:lang w:eastAsia="en-GB"/>
        </w:rPr>
        <w:t>Global Fund support fails to continue at existing levels</w:t>
      </w:r>
      <w:r w:rsidRPr="004049E0">
        <w:rPr>
          <w:rFonts w:ascii="Arial" w:eastAsia="SimSun" w:hAnsi="Arial"/>
          <w:sz w:val="20"/>
          <w:szCs w:val="20"/>
          <w:lang w:eastAsia="zh-CN"/>
        </w:rPr>
        <w:t xml:space="preserve">. </w:t>
      </w:r>
      <w:r w:rsidRPr="004049E0">
        <w:rPr>
          <w:rFonts w:ascii="Arial" w:eastAsia="SimSun" w:hAnsi="Arial"/>
          <w:sz w:val="20"/>
          <w:szCs w:val="20"/>
          <w:u w:val="single"/>
          <w:lang w:eastAsia="zh-CN"/>
        </w:rPr>
        <w:t>Proposed mitigation</w:t>
      </w:r>
      <w:r w:rsidRPr="004049E0">
        <w:rPr>
          <w:rFonts w:ascii="Arial" w:eastAsia="SimSun" w:hAnsi="Arial"/>
          <w:sz w:val="20"/>
          <w:szCs w:val="20"/>
          <w:lang w:eastAsia="zh-CN"/>
        </w:rPr>
        <w:t xml:space="preserve">. Strong justification for the continuation of </w:t>
      </w:r>
      <w:r w:rsidR="004049E0" w:rsidRPr="004049E0">
        <w:rPr>
          <w:rFonts w:ascii="Arial" w:eastAsia="SimSun" w:hAnsi="Arial"/>
          <w:sz w:val="20"/>
          <w:szCs w:val="20"/>
          <w:lang w:eastAsia="zh-CN"/>
        </w:rPr>
        <w:t>GF support</w:t>
      </w:r>
      <w:r w:rsidRPr="004049E0">
        <w:rPr>
          <w:rFonts w:ascii="Arial" w:eastAsia="SimSun" w:hAnsi="Arial"/>
          <w:sz w:val="20"/>
          <w:szCs w:val="20"/>
          <w:lang w:eastAsia="zh-CN"/>
        </w:rPr>
        <w:t xml:space="preserve"> beyond 20</w:t>
      </w:r>
      <w:r w:rsidR="004049E0" w:rsidRPr="004049E0">
        <w:rPr>
          <w:rFonts w:ascii="Arial" w:eastAsia="SimSun" w:hAnsi="Arial"/>
          <w:sz w:val="20"/>
          <w:szCs w:val="20"/>
          <w:lang w:eastAsia="zh-CN"/>
        </w:rPr>
        <w:t>20</w:t>
      </w:r>
      <w:r w:rsidRPr="004049E0">
        <w:rPr>
          <w:rFonts w:ascii="Arial" w:eastAsia="SimSun" w:hAnsi="Arial"/>
          <w:sz w:val="20"/>
          <w:szCs w:val="20"/>
          <w:lang w:eastAsia="zh-CN"/>
        </w:rPr>
        <w:t xml:space="preserve"> will be developed in collaboration with WHO and other regional stakeholders.</w:t>
      </w:r>
    </w:p>
    <w:p w:rsidR="00D31191" w:rsidRPr="004049E0" w:rsidRDefault="00D31191" w:rsidP="00D31191">
      <w:pPr>
        <w:spacing w:after="120" w:line="240" w:lineRule="auto"/>
        <w:rPr>
          <w:rFonts w:ascii="Arial" w:eastAsia="Times New Roman" w:hAnsi="Arial"/>
          <w:b/>
          <w:sz w:val="20"/>
          <w:szCs w:val="20"/>
          <w:lang w:eastAsia="en-GB"/>
        </w:rPr>
      </w:pPr>
      <w:r w:rsidRPr="004049E0">
        <w:rPr>
          <w:rFonts w:ascii="Arial" w:eastAsia="Times New Roman" w:hAnsi="Arial"/>
          <w:sz w:val="20"/>
          <w:szCs w:val="20"/>
          <w:lang w:eastAsia="en-GB"/>
        </w:rPr>
        <w:t xml:space="preserve">These risks will be monitored in partnership with WHO during implementation and </w:t>
      </w:r>
      <w:r w:rsidR="004049E0" w:rsidRPr="004049E0">
        <w:rPr>
          <w:rFonts w:ascii="Arial" w:eastAsia="Times New Roman" w:hAnsi="Arial"/>
          <w:sz w:val="20"/>
          <w:szCs w:val="20"/>
          <w:lang w:eastAsia="en-GB"/>
        </w:rPr>
        <w:t xml:space="preserve">will be </w:t>
      </w:r>
      <w:r w:rsidRPr="004049E0">
        <w:rPr>
          <w:rFonts w:ascii="Arial" w:eastAsia="Times New Roman" w:hAnsi="Arial"/>
          <w:sz w:val="20"/>
          <w:szCs w:val="20"/>
          <w:lang w:eastAsia="en-GB"/>
        </w:rPr>
        <w:t xml:space="preserve">reported on by the PRs, regularly reviewed by the LFA, and assessed by GF during periodic grant appraisal sessions. </w:t>
      </w:r>
    </w:p>
    <w:p w:rsidR="00FE411C" w:rsidRPr="004049E0" w:rsidRDefault="00FE411C" w:rsidP="00D31191">
      <w:pPr>
        <w:rPr>
          <w:rFonts w:ascii="Arial" w:hAnsi="Arial" w:cs="Arial"/>
          <w:sz w:val="20"/>
          <w:szCs w:val="20"/>
        </w:rPr>
      </w:pPr>
      <w:r w:rsidRPr="004049E0">
        <w:rPr>
          <w:rFonts w:ascii="Arial" w:hAnsi="Arial" w:cs="Arial"/>
          <w:sz w:val="20"/>
          <w:szCs w:val="20"/>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8926"/>
      </w:tblGrid>
      <w:tr w:rsidR="00FC77AC" w:rsidRPr="006B7572" w:rsidTr="00FE411C">
        <w:trPr>
          <w:trHeight w:val="409"/>
          <w:jc w:val="center"/>
        </w:trPr>
        <w:tc>
          <w:tcPr>
            <w:tcW w:w="8926" w:type="dxa"/>
            <w:shd w:val="clear" w:color="auto" w:fill="1F497D"/>
            <w:vAlign w:val="center"/>
          </w:tcPr>
          <w:p w:rsidR="00FC77AC" w:rsidRPr="006B7572" w:rsidRDefault="00FC77AC" w:rsidP="00FC77AC">
            <w:pPr>
              <w:spacing w:after="0" w:line="240" w:lineRule="auto"/>
              <w:rPr>
                <w:rFonts w:ascii="Arial" w:eastAsia="Calibri" w:hAnsi="Arial" w:cs="Arial"/>
                <w:b/>
                <w:bCs/>
                <w:color w:val="FFFFFF"/>
                <w:sz w:val="20"/>
                <w:szCs w:val="20"/>
                <w:lang w:val="en-US"/>
              </w:rPr>
            </w:pPr>
            <w:r w:rsidRPr="006B7572">
              <w:rPr>
                <w:rFonts w:ascii="Arial" w:eastAsia="SimSun" w:hAnsi="Arial" w:cs="Arial"/>
                <w:b/>
                <w:color w:val="FFFFFF"/>
                <w:sz w:val="20"/>
                <w:szCs w:val="20"/>
                <w:lang w:val="en-US" w:eastAsia="zh-CN"/>
              </w:rPr>
              <w:lastRenderedPageBreak/>
              <w:t>SECTION 4: FUNDING LANDSCAPE, CO-FINANCING AND SUSTAINABILITY</w:t>
            </w:r>
          </w:p>
        </w:tc>
      </w:tr>
      <w:tr w:rsidR="00FC77AC" w:rsidRPr="006B7572" w:rsidTr="00FE411C">
        <w:trPr>
          <w:trHeight w:val="1272"/>
          <w:jc w:val="center"/>
        </w:trPr>
        <w:tc>
          <w:tcPr>
            <w:tcW w:w="8926" w:type="dxa"/>
            <w:shd w:val="clear" w:color="auto" w:fill="F2F2F2" w:themeFill="background1" w:themeFillShade="F2"/>
            <w:vAlign w:val="center"/>
          </w:tcPr>
          <w:p w:rsidR="00FC77AC" w:rsidRPr="006B7572" w:rsidRDefault="00972638" w:rsidP="005614E5">
            <w:pPr>
              <w:spacing w:after="0" w:line="240" w:lineRule="auto"/>
              <w:jc w:val="both"/>
              <w:rPr>
                <w:rFonts w:ascii="Arial" w:eastAsia="Calibri" w:hAnsi="Arial" w:cs="Arial"/>
                <w:bCs/>
                <w:iCs/>
                <w:sz w:val="20"/>
                <w:szCs w:val="20"/>
                <w:lang w:val="en-US"/>
              </w:rPr>
            </w:pPr>
            <w:r w:rsidRPr="006B7572">
              <w:rPr>
                <w:rFonts w:ascii="Arial" w:eastAsia="Calibri" w:hAnsi="Arial" w:cs="Arial"/>
                <w:bCs/>
                <w:iCs/>
                <w:sz w:val="20"/>
                <w:szCs w:val="20"/>
                <w:lang w:val="en-US"/>
              </w:rPr>
              <w:t xml:space="preserve">This section details trends in overall health financing, government commitments to co-financing, and key plans for sustainability. </w:t>
            </w:r>
            <w:r w:rsidR="0020041F" w:rsidRPr="006B7572">
              <w:rPr>
                <w:rFonts w:ascii="Arial" w:eastAsia="Calibri" w:hAnsi="Arial" w:cs="Arial"/>
                <w:sz w:val="20"/>
                <w:szCs w:val="20"/>
                <w:lang w:val="en-US"/>
              </w:rPr>
              <w:t>R</w:t>
            </w:r>
            <w:r w:rsidR="00A676C4" w:rsidRPr="006B7572">
              <w:rPr>
                <w:rFonts w:ascii="Arial" w:eastAsia="Calibri" w:hAnsi="Arial" w:cs="Arial"/>
                <w:sz w:val="20"/>
                <w:szCs w:val="20"/>
                <w:lang w:val="en-US"/>
              </w:rPr>
              <w:t>efer</w:t>
            </w:r>
            <w:r w:rsidR="00996FDF" w:rsidRPr="006B7572">
              <w:rPr>
                <w:rFonts w:ascii="Arial" w:eastAsia="Calibri" w:hAnsi="Arial" w:cs="Arial"/>
                <w:bCs/>
                <w:iCs/>
                <w:sz w:val="20"/>
                <w:szCs w:val="20"/>
                <w:lang w:val="en-US"/>
              </w:rPr>
              <w:t>to</w:t>
            </w:r>
            <w:r w:rsidR="00FC77AC" w:rsidRPr="006B7572">
              <w:rPr>
                <w:rFonts w:ascii="Arial" w:eastAsia="Calibri" w:hAnsi="Arial" w:cs="Arial"/>
                <w:sz w:val="20"/>
                <w:szCs w:val="20"/>
                <w:lang w:val="en-US"/>
              </w:rPr>
              <w:t>the</w:t>
            </w:r>
            <w:r w:rsidR="00FC77AC" w:rsidRPr="006B7572">
              <w:rPr>
                <w:rFonts w:ascii="Arial" w:eastAsia="Calibri" w:hAnsi="Arial" w:cs="Arial"/>
                <w:b/>
                <w:bCs/>
                <w:iCs/>
                <w:sz w:val="20"/>
                <w:szCs w:val="20"/>
                <w:lang w:val="en-US"/>
              </w:rPr>
              <w:t xml:space="preserve"> Funding Landscape Table</w:t>
            </w:r>
            <w:r w:rsidR="00B72573" w:rsidRPr="006B7572">
              <w:rPr>
                <w:rFonts w:ascii="Arial" w:eastAsia="Calibri" w:hAnsi="Arial" w:cs="Arial"/>
                <w:b/>
                <w:bCs/>
                <w:iCs/>
                <w:sz w:val="20"/>
                <w:szCs w:val="20"/>
                <w:lang w:val="en-US"/>
              </w:rPr>
              <w:t>(s)</w:t>
            </w:r>
            <w:r w:rsidR="008F0B4F" w:rsidRPr="006B7572">
              <w:rPr>
                <w:rFonts w:ascii="Arial" w:eastAsia="Calibri" w:hAnsi="Arial" w:cs="Arial"/>
                <w:bCs/>
                <w:iCs/>
                <w:sz w:val="20"/>
                <w:szCs w:val="20"/>
                <w:lang w:val="en-US"/>
              </w:rPr>
              <w:t xml:space="preserve">and supporting </w:t>
            </w:r>
            <w:r w:rsidR="001F2969" w:rsidRPr="006B7572">
              <w:rPr>
                <w:rFonts w:ascii="Arial" w:eastAsia="Calibri" w:hAnsi="Arial" w:cs="Arial"/>
                <w:bCs/>
                <w:iCs/>
                <w:sz w:val="20"/>
                <w:szCs w:val="20"/>
                <w:lang w:val="en-US"/>
              </w:rPr>
              <w:t>documents as applicable</w:t>
            </w:r>
            <w:r w:rsidR="00FC77AC" w:rsidRPr="006B7572">
              <w:rPr>
                <w:rFonts w:ascii="Arial" w:eastAsia="Calibri" w:hAnsi="Arial" w:cs="Arial"/>
                <w:bCs/>
                <w:iCs/>
                <w:sz w:val="20"/>
                <w:szCs w:val="20"/>
                <w:lang w:val="en-US"/>
              </w:rPr>
              <w:t>.</w:t>
            </w:r>
            <w:r w:rsidR="001F2969" w:rsidRPr="006B7572">
              <w:rPr>
                <w:rFonts w:ascii="Arial" w:eastAsia="Calibri" w:hAnsi="Arial" w:cs="Arial"/>
                <w:bCs/>
                <w:iCs/>
                <w:sz w:val="20"/>
                <w:szCs w:val="20"/>
                <w:lang w:val="en-US"/>
              </w:rPr>
              <w:t xml:space="preserve">To respond, refer to </w:t>
            </w:r>
            <w:r w:rsidR="006E048B" w:rsidRPr="006B7572">
              <w:rPr>
                <w:rFonts w:ascii="Arial" w:eastAsia="Calibri" w:hAnsi="Arial" w:cs="Arial"/>
                <w:sz w:val="20"/>
                <w:szCs w:val="20"/>
                <w:lang w:val="en-US"/>
              </w:rPr>
              <w:t>additional</w:t>
            </w:r>
            <w:r w:rsidR="00761057" w:rsidRPr="006B7572">
              <w:rPr>
                <w:rFonts w:ascii="Arial" w:eastAsia="Calibri" w:hAnsi="Arial" w:cs="Arial"/>
                <w:bCs/>
                <w:iCs/>
                <w:sz w:val="20"/>
                <w:szCs w:val="20"/>
                <w:lang w:val="en-US"/>
              </w:rPr>
              <w:t xml:space="preserve">guidance </w:t>
            </w:r>
            <w:r w:rsidR="00B72573" w:rsidRPr="006B7572">
              <w:rPr>
                <w:rFonts w:ascii="Arial" w:eastAsia="Calibri" w:hAnsi="Arial" w:cs="Arial"/>
                <w:bCs/>
                <w:iCs/>
                <w:sz w:val="20"/>
                <w:szCs w:val="20"/>
                <w:lang w:val="en-US"/>
              </w:rPr>
              <w:t xml:space="preserve">provided </w:t>
            </w:r>
            <w:r w:rsidR="00761057" w:rsidRPr="006B7572">
              <w:rPr>
                <w:rFonts w:ascii="Arial" w:eastAsia="Calibri" w:hAnsi="Arial" w:cs="Arial"/>
                <w:bCs/>
                <w:iCs/>
                <w:sz w:val="20"/>
                <w:szCs w:val="20"/>
                <w:lang w:val="en-US"/>
              </w:rPr>
              <w:t xml:space="preserve">in the </w:t>
            </w:r>
            <w:r w:rsidR="0020041F" w:rsidRPr="006B7572">
              <w:rPr>
                <w:rFonts w:ascii="Arial" w:hAnsi="Arial" w:cs="Arial"/>
                <w:bCs/>
                <w:i/>
                <w:iCs/>
                <w:sz w:val="20"/>
                <w:szCs w:val="20"/>
              </w:rPr>
              <w:t>Instructions</w:t>
            </w:r>
            <w:r w:rsidR="00485F5B">
              <w:rPr>
                <w:rFonts w:ascii="Arial" w:hAnsi="Arial" w:cs="Arial"/>
                <w:bCs/>
                <w:i/>
                <w:iCs/>
                <w:sz w:val="20"/>
                <w:szCs w:val="20"/>
              </w:rPr>
              <w:t>.</w:t>
            </w:r>
          </w:p>
        </w:tc>
      </w:tr>
    </w:tbl>
    <w:p w:rsidR="00FC77AC" w:rsidRPr="006B7572" w:rsidRDefault="00FC77AC">
      <w:pPr>
        <w:rPr>
          <w:rFonts w:ascii="Arial" w:hAnsi="Arial" w:cs="Arial"/>
          <w:sz w:val="20"/>
          <w:szCs w:val="20"/>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42" w:type="dxa"/>
          <w:right w:w="142" w:type="dxa"/>
        </w:tblCellMar>
        <w:tblLook w:val="01E0"/>
      </w:tblPr>
      <w:tblGrid>
        <w:gridCol w:w="6796"/>
        <w:gridCol w:w="2096"/>
      </w:tblGrid>
      <w:tr w:rsidR="00FC77AC" w:rsidRPr="006B7572" w:rsidTr="00FE411C">
        <w:trPr>
          <w:trHeight w:val="256"/>
          <w:jc w:val="center"/>
        </w:trPr>
        <w:tc>
          <w:tcPr>
            <w:tcW w:w="8892" w:type="dxa"/>
            <w:gridSpan w:val="2"/>
            <w:shd w:val="clear" w:color="auto" w:fill="C6D9F1"/>
            <w:vAlign w:val="center"/>
          </w:tcPr>
          <w:p w:rsidR="00FC77AC" w:rsidRPr="006B7572" w:rsidRDefault="00FC77AC" w:rsidP="00FC77AC">
            <w:pPr>
              <w:spacing w:before="120" w:after="120" w:line="240" w:lineRule="auto"/>
              <w:jc w:val="both"/>
              <w:rPr>
                <w:rFonts w:ascii="Arial" w:eastAsia="SimSun" w:hAnsi="Arial" w:cs="Arial"/>
                <w:b/>
                <w:sz w:val="20"/>
                <w:szCs w:val="20"/>
                <w:lang w:val="en-US" w:eastAsia="zh-CN"/>
              </w:rPr>
            </w:pPr>
            <w:r w:rsidRPr="006B7572">
              <w:rPr>
                <w:rFonts w:ascii="Arial" w:eastAsia="SimSun" w:hAnsi="Arial" w:cs="Arial"/>
                <w:b/>
                <w:sz w:val="20"/>
                <w:szCs w:val="20"/>
                <w:lang w:val="en-US" w:eastAsia="zh-CN"/>
              </w:rPr>
              <w:t xml:space="preserve">4.1 Funding Landscape and Co-financing </w:t>
            </w:r>
          </w:p>
        </w:tc>
      </w:tr>
      <w:tr w:rsidR="00FC77AC" w:rsidRPr="006B7572" w:rsidTr="00FE411C">
        <w:trPr>
          <w:trHeight w:val="423"/>
          <w:jc w:val="center"/>
        </w:trPr>
        <w:tc>
          <w:tcPr>
            <w:tcW w:w="6796" w:type="dxa"/>
            <w:shd w:val="clear" w:color="auto" w:fill="F2F2F2" w:themeFill="background1" w:themeFillShade="F2"/>
            <w:vAlign w:val="center"/>
          </w:tcPr>
          <w:p w:rsidR="00FC77AC" w:rsidRPr="006B7572" w:rsidRDefault="00FC77AC" w:rsidP="007205D8">
            <w:pPr>
              <w:pStyle w:val="ListParagraph"/>
              <w:numPr>
                <w:ilvl w:val="0"/>
                <w:numId w:val="2"/>
              </w:numPr>
              <w:spacing w:before="120" w:after="120" w:line="240" w:lineRule="auto"/>
              <w:ind w:left="276" w:hanging="284"/>
              <w:jc w:val="both"/>
              <w:rPr>
                <w:rFonts w:ascii="Arial" w:eastAsia="SimSun" w:hAnsi="Arial" w:cs="Arial"/>
                <w:sz w:val="20"/>
                <w:szCs w:val="20"/>
                <w:lang w:val="en-US" w:eastAsia="zh-CN"/>
              </w:rPr>
            </w:pPr>
            <w:r w:rsidRPr="006B7572">
              <w:rPr>
                <w:rFonts w:ascii="Arial" w:eastAsia="SimSun" w:hAnsi="Arial" w:cs="Arial"/>
                <w:sz w:val="20"/>
                <w:szCs w:val="20"/>
                <w:lang w:val="en-US" w:eastAsia="zh-CN"/>
              </w:rPr>
              <w:t xml:space="preserve">Are there </w:t>
            </w:r>
            <w:r w:rsidR="003457BF" w:rsidRPr="006B7572">
              <w:rPr>
                <w:rFonts w:ascii="Arial" w:eastAsia="SimSun" w:hAnsi="Arial" w:cs="Arial"/>
                <w:sz w:val="20"/>
                <w:szCs w:val="20"/>
                <w:lang w:val="en-US" w:eastAsia="zh-CN"/>
              </w:rPr>
              <w:t xml:space="preserve">any </w:t>
            </w:r>
            <w:r w:rsidRPr="006B7572">
              <w:rPr>
                <w:rFonts w:ascii="Arial" w:eastAsia="Calibri" w:hAnsi="Arial" w:cs="Arial"/>
                <w:sz w:val="20"/>
                <w:szCs w:val="20"/>
                <w:lang w:val="en-US"/>
              </w:rPr>
              <w:t>current and</w:t>
            </w:r>
            <w:r w:rsidR="003457BF" w:rsidRPr="006B7572">
              <w:rPr>
                <w:rFonts w:ascii="Arial" w:eastAsia="Calibri" w:hAnsi="Arial" w:cs="Arial"/>
                <w:sz w:val="20"/>
                <w:szCs w:val="20"/>
                <w:lang w:val="en-US"/>
              </w:rPr>
              <w:t>/or</w:t>
            </w:r>
            <w:r w:rsidRPr="006B7572">
              <w:rPr>
                <w:rFonts w:ascii="Arial" w:eastAsia="Calibri" w:hAnsi="Arial" w:cs="Arial"/>
                <w:sz w:val="20"/>
                <w:szCs w:val="20"/>
                <w:lang w:val="en-US"/>
              </w:rPr>
              <w:t xml:space="preserve"> planned actions</w:t>
            </w:r>
            <w:r w:rsidR="003457BF" w:rsidRPr="006B7572">
              <w:rPr>
                <w:rFonts w:ascii="Arial" w:eastAsia="Calibri" w:hAnsi="Arial" w:cs="Arial"/>
                <w:sz w:val="20"/>
                <w:szCs w:val="20"/>
                <w:lang w:val="en-US"/>
              </w:rPr>
              <w:t xml:space="preserve"> or </w:t>
            </w:r>
            <w:r w:rsidRPr="006B7572">
              <w:rPr>
                <w:rFonts w:ascii="Arial" w:eastAsia="Calibri" w:hAnsi="Arial" w:cs="Arial"/>
                <w:sz w:val="20"/>
                <w:szCs w:val="20"/>
                <w:lang w:val="en-US"/>
              </w:rPr>
              <w:t>reforms to increase domestic resources for health</w:t>
            </w:r>
            <w:r w:rsidR="003E27D3" w:rsidRPr="006B7572">
              <w:rPr>
                <w:rFonts w:ascii="Arial" w:hAnsi="Arial" w:cs="Arial"/>
                <w:sz w:val="20"/>
                <w:szCs w:val="20"/>
              </w:rPr>
              <w:t xml:space="preserve">as well as to enable greater efficiency and effectiveness of health </w:t>
            </w:r>
            <w:r w:rsidR="003E27D3" w:rsidRPr="005106F8">
              <w:rPr>
                <w:rFonts w:ascii="Arial" w:hAnsi="Arial" w:cs="Arial"/>
                <w:sz w:val="20"/>
                <w:szCs w:val="20"/>
              </w:rPr>
              <w:t>spending</w:t>
            </w:r>
            <w:r w:rsidRPr="005106F8">
              <w:rPr>
                <w:rFonts w:ascii="Arial" w:eastAsia="Calibri" w:hAnsi="Arial" w:cs="Arial"/>
                <w:sz w:val="20"/>
                <w:szCs w:val="20"/>
                <w:lang w:val="en-US"/>
              </w:rPr>
              <w:t>?</w:t>
            </w:r>
            <w:r w:rsidR="008F0B4F" w:rsidRPr="005106F8">
              <w:rPr>
                <w:rFonts w:ascii="Arial" w:eastAsia="Calibri" w:hAnsi="Arial" w:cs="Arial"/>
                <w:b/>
                <w:sz w:val="20"/>
                <w:szCs w:val="20"/>
                <w:lang w:val="en-US"/>
              </w:rPr>
              <w:t xml:space="preserve">If yes, </w:t>
            </w:r>
            <w:r w:rsidR="008F0B4F" w:rsidRPr="005106F8">
              <w:rPr>
                <w:rFonts w:ascii="Arial" w:eastAsia="Calibri" w:hAnsi="Arial" w:cs="Arial"/>
                <w:sz w:val="20"/>
                <w:szCs w:val="20"/>
                <w:lang w:val="en-US"/>
              </w:rPr>
              <w:t>provide details below.</w:t>
            </w:r>
          </w:p>
        </w:tc>
        <w:tc>
          <w:tcPr>
            <w:tcW w:w="2096" w:type="dxa"/>
            <w:shd w:val="clear" w:color="auto" w:fill="auto"/>
            <w:vAlign w:val="center"/>
          </w:tcPr>
          <w:p w:rsidR="00FC77AC" w:rsidRPr="006B7572" w:rsidRDefault="00817B52" w:rsidP="00FC77AC">
            <w:pPr>
              <w:spacing w:before="120" w:after="120" w:line="240" w:lineRule="auto"/>
              <w:jc w:val="both"/>
              <w:rPr>
                <w:rFonts w:ascii="Arial" w:eastAsia="SimSun" w:hAnsi="Arial" w:cs="Arial"/>
                <w:b/>
                <w:sz w:val="20"/>
                <w:szCs w:val="20"/>
                <w:lang w:val="en-US" w:eastAsia="zh-CN"/>
              </w:rPr>
            </w:pPr>
            <w:sdt>
              <w:sdtPr>
                <w:rPr>
                  <w:rFonts w:ascii="Arial" w:eastAsia="Calibri" w:hAnsi="Arial" w:cs="Arial"/>
                  <w:b/>
                  <w:bCs/>
                  <w:iCs/>
                  <w:sz w:val="20"/>
                  <w:szCs w:val="20"/>
                  <w:lang w:val="en-US"/>
                </w:rPr>
                <w:id w:val="-824042536"/>
              </w:sdtPr>
              <w:sdtContent>
                <w:r w:rsidR="00FC77AC" w:rsidRPr="000A35C7">
                  <w:rPr>
                    <w:rFonts w:ascii="Segoe UI Symbol" w:eastAsia="Calibri" w:hAnsi="Segoe UI Symbol" w:cs="Segoe UI Symbol"/>
                    <w:b/>
                    <w:bCs/>
                    <w:iCs/>
                    <w:sz w:val="20"/>
                    <w:szCs w:val="20"/>
                    <w:lang w:val="en-US"/>
                  </w:rPr>
                  <w:t>☐</w:t>
                </w:r>
              </w:sdtContent>
            </w:sdt>
            <w:r w:rsidR="00FC77AC" w:rsidRPr="000A35C7">
              <w:rPr>
                <w:rFonts w:ascii="Arial" w:eastAsia="Calibri" w:hAnsi="Arial" w:cs="Arial"/>
                <w:b/>
                <w:bCs/>
                <w:iCs/>
                <w:sz w:val="20"/>
                <w:szCs w:val="20"/>
                <w:lang w:val="en-US"/>
              </w:rPr>
              <w:t xml:space="preserve"> Yes</w:t>
            </w:r>
            <w:sdt>
              <w:sdtPr>
                <w:rPr>
                  <w:rFonts w:ascii="Arial" w:eastAsia="Calibri" w:hAnsi="Arial" w:cs="Arial"/>
                  <w:bCs/>
                  <w:iCs/>
                  <w:color w:val="BFBFBF" w:themeColor="background1" w:themeShade="BF"/>
                  <w:sz w:val="20"/>
                  <w:szCs w:val="20"/>
                  <w:lang w:val="en-US"/>
                </w:rPr>
                <w:id w:val="-2037491241"/>
              </w:sdtPr>
              <w:sdtContent>
                <w:r w:rsidR="00FC77AC" w:rsidRPr="000A35C7">
                  <w:rPr>
                    <w:rFonts w:ascii="Segoe UI Symbol" w:eastAsia="Calibri" w:hAnsi="Segoe UI Symbol" w:cs="Segoe UI Symbol"/>
                    <w:bCs/>
                    <w:iCs/>
                    <w:color w:val="BFBFBF" w:themeColor="background1" w:themeShade="BF"/>
                    <w:sz w:val="20"/>
                    <w:szCs w:val="20"/>
                    <w:lang w:val="en-US"/>
                  </w:rPr>
                  <w:t>☐</w:t>
                </w:r>
              </w:sdtContent>
            </w:sdt>
            <w:r w:rsidR="00FC77AC" w:rsidRPr="000A35C7">
              <w:rPr>
                <w:rFonts w:ascii="Arial" w:eastAsia="Calibri" w:hAnsi="Arial" w:cs="Arial"/>
                <w:bCs/>
                <w:iCs/>
                <w:color w:val="BFBFBF" w:themeColor="background1" w:themeShade="BF"/>
                <w:sz w:val="20"/>
                <w:szCs w:val="20"/>
                <w:lang w:val="en-US"/>
              </w:rPr>
              <w:t xml:space="preserve"> No</w:t>
            </w:r>
          </w:p>
        </w:tc>
      </w:tr>
      <w:tr w:rsidR="00FC77AC" w:rsidRPr="006B7572" w:rsidTr="00FE411C">
        <w:trPr>
          <w:trHeight w:val="423"/>
          <w:jc w:val="center"/>
        </w:trPr>
        <w:tc>
          <w:tcPr>
            <w:tcW w:w="6796" w:type="dxa"/>
            <w:shd w:val="clear" w:color="auto" w:fill="F2F2F2" w:themeFill="background1" w:themeFillShade="F2"/>
            <w:vAlign w:val="center"/>
          </w:tcPr>
          <w:p w:rsidR="00FC77AC" w:rsidRPr="006B7572" w:rsidRDefault="00FC77AC" w:rsidP="007205D8">
            <w:pPr>
              <w:pStyle w:val="ListParagraph"/>
              <w:numPr>
                <w:ilvl w:val="0"/>
                <w:numId w:val="2"/>
              </w:numPr>
              <w:spacing w:before="120" w:after="120" w:line="240" w:lineRule="auto"/>
              <w:ind w:left="276" w:hanging="284"/>
              <w:jc w:val="both"/>
              <w:rPr>
                <w:rFonts w:ascii="Arial" w:eastAsia="SimSun" w:hAnsi="Arial" w:cs="Arial"/>
                <w:sz w:val="20"/>
                <w:szCs w:val="20"/>
                <w:lang w:val="en-US" w:eastAsia="zh-CN"/>
              </w:rPr>
            </w:pPr>
            <w:r w:rsidRPr="006B7572">
              <w:rPr>
                <w:rFonts w:ascii="Arial" w:eastAsia="SimSun" w:hAnsi="Arial" w:cs="Arial"/>
                <w:sz w:val="20"/>
                <w:szCs w:val="20"/>
                <w:lang w:val="en-US" w:eastAsia="zh-CN"/>
              </w:rPr>
              <w:t>Is t</w:t>
            </w:r>
            <w:r w:rsidRPr="006B7572">
              <w:rPr>
                <w:rFonts w:ascii="Arial" w:eastAsia="Calibri" w:hAnsi="Arial" w:cs="Arial"/>
                <w:bCs/>
                <w:sz w:val="20"/>
                <w:szCs w:val="20"/>
                <w:lang w:val="en-US"/>
              </w:rPr>
              <w:t>h</w:t>
            </w:r>
            <w:r w:rsidR="003457BF" w:rsidRPr="006B7572">
              <w:rPr>
                <w:rFonts w:ascii="Arial" w:eastAsia="Calibri" w:hAnsi="Arial" w:cs="Arial"/>
                <w:bCs/>
                <w:sz w:val="20"/>
                <w:szCs w:val="20"/>
                <w:lang w:val="en-US"/>
              </w:rPr>
              <w:t>is</w:t>
            </w:r>
            <w:r w:rsidRPr="006B7572">
              <w:rPr>
                <w:rFonts w:ascii="Arial" w:eastAsia="Calibri" w:hAnsi="Arial" w:cs="Arial"/>
                <w:bCs/>
                <w:sz w:val="20"/>
                <w:szCs w:val="20"/>
                <w:lang w:val="en-US"/>
              </w:rPr>
              <w:t xml:space="preserve"> current application requesting Global Fund support for developing a health financing strategy and/or implementing health-financing reforms?</w:t>
            </w:r>
            <w:r w:rsidR="008F0B4F" w:rsidRPr="006B7572">
              <w:rPr>
                <w:rFonts w:ascii="Arial" w:eastAsia="Calibri" w:hAnsi="Arial" w:cs="Arial"/>
                <w:b/>
                <w:bCs/>
                <w:sz w:val="20"/>
                <w:szCs w:val="20"/>
                <w:lang w:val="en-US"/>
              </w:rPr>
              <w:t xml:space="preserve">If yes, </w:t>
            </w:r>
            <w:r w:rsidR="008F0B4F" w:rsidRPr="006B7572">
              <w:rPr>
                <w:rFonts w:ascii="Arial" w:eastAsia="Calibri" w:hAnsi="Arial" w:cs="Arial"/>
                <w:bCs/>
                <w:sz w:val="20"/>
                <w:szCs w:val="20"/>
                <w:lang w:val="en-US"/>
              </w:rPr>
              <w:t xml:space="preserve">provide a brief </w:t>
            </w:r>
            <w:r w:rsidR="00E93BBE" w:rsidRPr="006B7572">
              <w:rPr>
                <w:rFonts w:ascii="Arial" w:eastAsia="Calibri" w:hAnsi="Arial" w:cs="Arial"/>
                <w:bCs/>
                <w:sz w:val="20"/>
                <w:szCs w:val="20"/>
                <w:lang w:val="en-US"/>
              </w:rPr>
              <w:t>description</w:t>
            </w:r>
            <w:r w:rsidR="008F0B4F" w:rsidRPr="006B7572">
              <w:rPr>
                <w:rFonts w:ascii="Arial" w:eastAsia="Calibri" w:hAnsi="Arial" w:cs="Arial"/>
                <w:bCs/>
                <w:sz w:val="20"/>
                <w:szCs w:val="20"/>
                <w:lang w:val="en-US"/>
              </w:rPr>
              <w:t xml:space="preserve"> below. </w:t>
            </w:r>
          </w:p>
        </w:tc>
        <w:tc>
          <w:tcPr>
            <w:tcW w:w="2096" w:type="dxa"/>
            <w:shd w:val="clear" w:color="auto" w:fill="auto"/>
            <w:vAlign w:val="center"/>
          </w:tcPr>
          <w:p w:rsidR="00FC77AC" w:rsidRPr="006B7572" w:rsidRDefault="00817B52" w:rsidP="00FC77AC">
            <w:pPr>
              <w:spacing w:before="120" w:after="120" w:line="240" w:lineRule="auto"/>
              <w:jc w:val="both"/>
              <w:rPr>
                <w:rFonts w:ascii="Arial" w:eastAsia="Calibri" w:hAnsi="Arial" w:cs="Arial"/>
                <w:bCs/>
                <w:iCs/>
                <w:sz w:val="20"/>
                <w:szCs w:val="20"/>
                <w:lang w:val="en-US"/>
              </w:rPr>
            </w:pPr>
            <w:sdt>
              <w:sdtPr>
                <w:rPr>
                  <w:rFonts w:ascii="Arial" w:eastAsia="Calibri" w:hAnsi="Arial" w:cs="Arial"/>
                  <w:bCs/>
                  <w:iCs/>
                  <w:color w:val="BFBFBF" w:themeColor="background1" w:themeShade="BF"/>
                  <w:sz w:val="20"/>
                  <w:szCs w:val="20"/>
                  <w:lang w:val="en-US"/>
                </w:rPr>
                <w:id w:val="791858774"/>
              </w:sdtPr>
              <w:sdtContent>
                <w:r w:rsidR="00FC77AC" w:rsidRPr="00287194">
                  <w:rPr>
                    <w:rFonts w:ascii="Segoe UI Symbol" w:eastAsia="Calibri" w:hAnsi="Segoe UI Symbol" w:cs="Segoe UI Symbol"/>
                    <w:bCs/>
                    <w:iCs/>
                    <w:color w:val="BFBFBF" w:themeColor="background1" w:themeShade="BF"/>
                    <w:sz w:val="20"/>
                    <w:szCs w:val="20"/>
                    <w:lang w:val="en-US"/>
                  </w:rPr>
                  <w:t>☐</w:t>
                </w:r>
              </w:sdtContent>
            </w:sdt>
            <w:r w:rsidR="00FC77AC" w:rsidRPr="00287194">
              <w:rPr>
                <w:rFonts w:ascii="Arial" w:eastAsia="Calibri" w:hAnsi="Arial" w:cs="Arial"/>
                <w:bCs/>
                <w:iCs/>
                <w:color w:val="BFBFBF" w:themeColor="background1" w:themeShade="BF"/>
                <w:sz w:val="20"/>
                <w:szCs w:val="20"/>
                <w:lang w:val="en-US"/>
              </w:rPr>
              <w:t xml:space="preserve"> Yes</w:t>
            </w:r>
            <w:sdt>
              <w:sdtPr>
                <w:rPr>
                  <w:rFonts w:ascii="Arial" w:eastAsia="Calibri" w:hAnsi="Arial" w:cs="Arial"/>
                  <w:b/>
                  <w:bCs/>
                  <w:iCs/>
                  <w:sz w:val="20"/>
                  <w:szCs w:val="20"/>
                  <w:lang w:val="en-US"/>
                </w:rPr>
                <w:id w:val="509962073"/>
              </w:sdtPr>
              <w:sdtContent>
                <w:r w:rsidR="00FC77AC" w:rsidRPr="008C21C9">
                  <w:rPr>
                    <w:rFonts w:ascii="Segoe UI Symbol" w:eastAsia="Calibri" w:hAnsi="Segoe UI Symbol" w:cs="Segoe UI Symbol"/>
                    <w:b/>
                    <w:bCs/>
                    <w:iCs/>
                    <w:sz w:val="20"/>
                    <w:szCs w:val="20"/>
                    <w:lang w:val="en-US"/>
                  </w:rPr>
                  <w:t>☐</w:t>
                </w:r>
              </w:sdtContent>
            </w:sdt>
            <w:r w:rsidR="00FC77AC" w:rsidRPr="008C21C9">
              <w:rPr>
                <w:rFonts w:ascii="Arial" w:eastAsia="Calibri" w:hAnsi="Arial" w:cs="Arial"/>
                <w:b/>
                <w:bCs/>
                <w:iCs/>
                <w:sz w:val="20"/>
                <w:szCs w:val="20"/>
                <w:lang w:val="en-US"/>
              </w:rPr>
              <w:t xml:space="preserve"> No</w:t>
            </w:r>
          </w:p>
        </w:tc>
      </w:tr>
      <w:tr w:rsidR="00FC77AC" w:rsidRPr="006B7572" w:rsidTr="00FE411C">
        <w:trPr>
          <w:trHeight w:val="423"/>
          <w:jc w:val="center"/>
        </w:trPr>
        <w:tc>
          <w:tcPr>
            <w:tcW w:w="6796" w:type="dxa"/>
            <w:shd w:val="clear" w:color="auto" w:fill="F2F2F2" w:themeFill="background1" w:themeFillShade="F2"/>
            <w:vAlign w:val="center"/>
          </w:tcPr>
          <w:p w:rsidR="00FC77AC" w:rsidRPr="006B7572" w:rsidRDefault="00FC77AC" w:rsidP="007205D8">
            <w:pPr>
              <w:pStyle w:val="ListParagraph"/>
              <w:numPr>
                <w:ilvl w:val="0"/>
                <w:numId w:val="2"/>
              </w:numPr>
              <w:spacing w:before="120" w:after="120" w:line="240" w:lineRule="auto"/>
              <w:ind w:left="276" w:hanging="284"/>
              <w:jc w:val="both"/>
              <w:rPr>
                <w:rFonts w:ascii="Arial" w:eastAsia="SimSun" w:hAnsi="Arial" w:cs="Arial"/>
                <w:sz w:val="20"/>
                <w:szCs w:val="20"/>
                <w:lang w:val="en-US" w:eastAsia="zh-CN"/>
              </w:rPr>
            </w:pPr>
            <w:r w:rsidRPr="006B7572">
              <w:rPr>
                <w:rFonts w:ascii="Arial" w:eastAsia="SimSun" w:hAnsi="Arial" w:cs="Arial"/>
                <w:sz w:val="20"/>
                <w:szCs w:val="20"/>
                <w:lang w:val="en-US" w:eastAsia="zh-CN"/>
              </w:rPr>
              <w:t xml:space="preserve">Have previous </w:t>
            </w:r>
            <w:r w:rsidR="00C106F2" w:rsidRPr="006B7572">
              <w:rPr>
                <w:rFonts w:ascii="Arial" w:eastAsia="SimSun" w:hAnsi="Arial" w:cs="Arial"/>
                <w:sz w:val="20"/>
                <w:szCs w:val="20"/>
                <w:lang w:val="en-US" w:eastAsia="zh-CN"/>
              </w:rPr>
              <w:t>g</w:t>
            </w:r>
            <w:r w:rsidRPr="006B7572">
              <w:rPr>
                <w:rFonts w:ascii="Arial" w:eastAsia="SimSun" w:hAnsi="Arial" w:cs="Arial"/>
                <w:sz w:val="20"/>
                <w:szCs w:val="20"/>
                <w:lang w:val="en-US" w:eastAsia="zh-CN"/>
              </w:rPr>
              <w:t>overnment commitments for the 2014-</w:t>
            </w:r>
            <w:r w:rsidR="003457BF" w:rsidRPr="006B7572">
              <w:rPr>
                <w:rFonts w:ascii="Arial" w:eastAsia="SimSun" w:hAnsi="Arial" w:cs="Arial"/>
                <w:sz w:val="20"/>
                <w:szCs w:val="20"/>
                <w:lang w:val="en-US" w:eastAsia="zh-CN"/>
              </w:rPr>
              <w:t>1</w:t>
            </w:r>
            <w:r w:rsidRPr="006B7572">
              <w:rPr>
                <w:rFonts w:ascii="Arial" w:eastAsia="SimSun" w:hAnsi="Arial" w:cs="Arial"/>
                <w:sz w:val="20"/>
                <w:szCs w:val="20"/>
                <w:lang w:val="en-US" w:eastAsia="zh-CN"/>
              </w:rPr>
              <w:t xml:space="preserve">6 allocation been realized? </w:t>
            </w:r>
            <w:r w:rsidRPr="006B7572">
              <w:rPr>
                <w:rFonts w:ascii="Arial" w:eastAsia="SimSun" w:hAnsi="Arial" w:cs="Arial"/>
                <w:b/>
                <w:sz w:val="20"/>
                <w:szCs w:val="20"/>
                <w:lang w:val="en-US" w:eastAsia="zh-CN"/>
              </w:rPr>
              <w:t>If not</w:t>
            </w:r>
            <w:r w:rsidRPr="006B7572">
              <w:rPr>
                <w:rFonts w:ascii="Arial" w:eastAsia="SimSun" w:hAnsi="Arial" w:cs="Arial"/>
                <w:sz w:val="20"/>
                <w:szCs w:val="20"/>
                <w:lang w:val="en-US" w:eastAsia="zh-CN"/>
              </w:rPr>
              <w:t>, provide reasons below.</w:t>
            </w:r>
          </w:p>
        </w:tc>
        <w:tc>
          <w:tcPr>
            <w:tcW w:w="2096" w:type="dxa"/>
            <w:shd w:val="clear" w:color="auto" w:fill="auto"/>
            <w:vAlign w:val="center"/>
          </w:tcPr>
          <w:p w:rsidR="00FC77AC" w:rsidRPr="006B7572" w:rsidRDefault="00817B52" w:rsidP="00FC77AC">
            <w:pPr>
              <w:spacing w:before="120" w:after="120" w:line="240" w:lineRule="auto"/>
              <w:jc w:val="both"/>
              <w:rPr>
                <w:rFonts w:ascii="Arial" w:eastAsia="Calibri" w:hAnsi="Arial" w:cs="Arial"/>
                <w:bCs/>
                <w:iCs/>
                <w:sz w:val="20"/>
                <w:szCs w:val="20"/>
                <w:lang w:val="en-US"/>
              </w:rPr>
            </w:pPr>
            <w:sdt>
              <w:sdtPr>
                <w:rPr>
                  <w:rFonts w:ascii="Arial" w:eastAsia="Calibri" w:hAnsi="Arial" w:cs="Arial"/>
                  <w:bCs/>
                  <w:iCs/>
                  <w:sz w:val="20"/>
                  <w:szCs w:val="20"/>
                  <w:lang w:val="en-US"/>
                </w:rPr>
                <w:id w:val="-888803521"/>
              </w:sdtPr>
              <w:sdtContent>
                <w:r w:rsidR="00FC77AC" w:rsidRPr="006B7572">
                  <w:rPr>
                    <w:rFonts w:ascii="Segoe UI Symbol" w:eastAsia="Calibri" w:hAnsi="Segoe UI Symbol" w:cs="Segoe UI Symbol"/>
                    <w:bCs/>
                    <w:iCs/>
                    <w:sz w:val="20"/>
                    <w:szCs w:val="20"/>
                    <w:lang w:val="en-US"/>
                  </w:rPr>
                  <w:t>☐</w:t>
                </w:r>
              </w:sdtContent>
            </w:sdt>
            <w:r w:rsidR="00FC77AC" w:rsidRPr="006B757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1580206460"/>
              </w:sdtPr>
              <w:sdtContent>
                <w:r w:rsidR="00FC77AC" w:rsidRPr="006B7572">
                  <w:rPr>
                    <w:rFonts w:ascii="Segoe UI Symbol" w:eastAsia="Calibri" w:hAnsi="Segoe UI Symbol" w:cs="Segoe UI Symbol"/>
                    <w:bCs/>
                    <w:iCs/>
                    <w:sz w:val="20"/>
                    <w:szCs w:val="20"/>
                    <w:lang w:val="en-US"/>
                  </w:rPr>
                  <w:t>☐</w:t>
                </w:r>
              </w:sdtContent>
            </w:sdt>
            <w:r w:rsidR="00FC77AC" w:rsidRPr="006B7572">
              <w:rPr>
                <w:rFonts w:ascii="Arial" w:eastAsia="Calibri" w:hAnsi="Arial" w:cs="Arial"/>
                <w:bCs/>
                <w:iCs/>
                <w:sz w:val="20"/>
                <w:szCs w:val="20"/>
                <w:lang w:val="en-US"/>
              </w:rPr>
              <w:t xml:space="preserve"> No</w:t>
            </w:r>
          </w:p>
        </w:tc>
      </w:tr>
      <w:tr w:rsidR="00FC77AC" w:rsidRPr="006B7572" w:rsidTr="00FE411C">
        <w:trPr>
          <w:trHeight w:val="423"/>
          <w:jc w:val="center"/>
        </w:trPr>
        <w:tc>
          <w:tcPr>
            <w:tcW w:w="6796" w:type="dxa"/>
            <w:shd w:val="clear" w:color="auto" w:fill="F2F2F2" w:themeFill="background1" w:themeFillShade="F2"/>
            <w:vAlign w:val="center"/>
          </w:tcPr>
          <w:p w:rsidR="00FC77AC" w:rsidRPr="006B7572" w:rsidRDefault="00FC77AC" w:rsidP="007205D8">
            <w:pPr>
              <w:pStyle w:val="ListParagraph"/>
              <w:numPr>
                <w:ilvl w:val="0"/>
                <w:numId w:val="2"/>
              </w:numPr>
              <w:spacing w:before="120" w:after="120" w:line="240" w:lineRule="auto"/>
              <w:ind w:left="276" w:hanging="284"/>
              <w:jc w:val="both"/>
              <w:rPr>
                <w:rFonts w:ascii="Arial" w:eastAsia="SimSun" w:hAnsi="Arial" w:cs="Arial"/>
                <w:b/>
                <w:sz w:val="20"/>
                <w:szCs w:val="20"/>
                <w:lang w:val="en-US" w:eastAsia="zh-CN"/>
              </w:rPr>
            </w:pPr>
            <w:r w:rsidRPr="006B7572">
              <w:rPr>
                <w:rFonts w:ascii="Arial" w:eastAsia="SimSun" w:hAnsi="Arial" w:cs="Arial"/>
                <w:sz w:val="20"/>
                <w:szCs w:val="20"/>
                <w:lang w:val="en-US" w:eastAsia="zh-CN"/>
              </w:rPr>
              <w:t xml:space="preserve">Do current </w:t>
            </w:r>
            <w:r w:rsidRPr="006B7572">
              <w:rPr>
                <w:rFonts w:ascii="Arial" w:eastAsia="Calibri" w:hAnsi="Arial" w:cs="Arial"/>
                <w:sz w:val="20"/>
                <w:szCs w:val="20"/>
                <w:lang w:val="en-US"/>
              </w:rPr>
              <w:t>co-financing commitments for the 2017-19 allocation meet minimum requirements to fully access the co-financing incentive, as set forth in the Sustainability, Transition and Co-financing Policy</w:t>
            </w:r>
            <w:r w:rsidR="00972638" w:rsidRPr="006B7572">
              <w:rPr>
                <w:rFonts w:ascii="Arial" w:eastAsia="Calibri" w:hAnsi="Arial" w:cs="Arial"/>
                <w:sz w:val="20"/>
                <w:szCs w:val="20"/>
                <w:lang w:val="en-US"/>
              </w:rPr>
              <w:t>?</w:t>
            </w:r>
            <w:r w:rsidRPr="006B7572">
              <w:rPr>
                <w:rFonts w:ascii="Arial" w:hAnsi="Arial" w:cs="Arial"/>
                <w:sz w:val="20"/>
                <w:szCs w:val="20"/>
                <w:vertAlign w:val="superscript"/>
                <w:lang w:val="en-US"/>
              </w:rPr>
              <w:footnoteReference w:id="6"/>
            </w:r>
            <w:r w:rsidRPr="006B7572">
              <w:rPr>
                <w:rFonts w:ascii="Arial" w:eastAsia="Calibri" w:hAnsi="Arial" w:cs="Arial"/>
                <w:b/>
                <w:sz w:val="20"/>
                <w:szCs w:val="20"/>
                <w:lang w:val="en-US"/>
              </w:rPr>
              <w:t>If not</w:t>
            </w:r>
            <w:r w:rsidRPr="006B7572">
              <w:rPr>
                <w:rFonts w:ascii="Arial" w:eastAsia="Calibri" w:hAnsi="Arial" w:cs="Arial"/>
                <w:sz w:val="20"/>
                <w:szCs w:val="20"/>
                <w:lang w:val="en-US"/>
              </w:rPr>
              <w:t>, provide reasons below.</w:t>
            </w:r>
          </w:p>
        </w:tc>
        <w:tc>
          <w:tcPr>
            <w:tcW w:w="2096" w:type="dxa"/>
            <w:shd w:val="clear" w:color="auto" w:fill="auto"/>
            <w:vAlign w:val="center"/>
          </w:tcPr>
          <w:p w:rsidR="00FC77AC" w:rsidRPr="006B7572" w:rsidRDefault="00817B52" w:rsidP="00FC77AC">
            <w:pPr>
              <w:spacing w:before="120" w:after="120" w:line="240" w:lineRule="auto"/>
              <w:jc w:val="both"/>
              <w:rPr>
                <w:rFonts w:ascii="Arial" w:eastAsia="Calibri" w:hAnsi="Arial" w:cs="Arial"/>
                <w:bCs/>
                <w:iCs/>
                <w:sz w:val="20"/>
                <w:szCs w:val="20"/>
                <w:lang w:val="en-US"/>
              </w:rPr>
            </w:pPr>
            <w:sdt>
              <w:sdtPr>
                <w:rPr>
                  <w:rFonts w:ascii="Arial" w:eastAsia="Calibri" w:hAnsi="Arial" w:cs="Arial"/>
                  <w:b/>
                  <w:bCs/>
                  <w:iCs/>
                  <w:sz w:val="20"/>
                  <w:szCs w:val="20"/>
                  <w:lang w:val="en-US"/>
                </w:rPr>
                <w:id w:val="-471215684"/>
              </w:sdtPr>
              <w:sdtContent>
                <w:r w:rsidR="00FC77AC" w:rsidRPr="008C21C9">
                  <w:rPr>
                    <w:rFonts w:ascii="Segoe UI Symbol" w:eastAsia="Calibri" w:hAnsi="Segoe UI Symbol" w:cs="Segoe UI Symbol"/>
                    <w:b/>
                    <w:bCs/>
                    <w:iCs/>
                    <w:sz w:val="20"/>
                    <w:szCs w:val="20"/>
                    <w:lang w:val="en-US"/>
                  </w:rPr>
                  <w:t>☐</w:t>
                </w:r>
              </w:sdtContent>
            </w:sdt>
            <w:r w:rsidR="00FC77AC" w:rsidRPr="008C21C9">
              <w:rPr>
                <w:rFonts w:ascii="Arial" w:eastAsia="Calibri" w:hAnsi="Arial" w:cs="Arial"/>
                <w:b/>
                <w:bCs/>
                <w:iCs/>
                <w:sz w:val="20"/>
                <w:szCs w:val="20"/>
                <w:lang w:val="en-US"/>
              </w:rPr>
              <w:t xml:space="preserve"> Yes         </w:t>
            </w:r>
            <w:sdt>
              <w:sdtPr>
                <w:rPr>
                  <w:rFonts w:ascii="Arial" w:eastAsia="Calibri" w:hAnsi="Arial" w:cs="Arial"/>
                  <w:bCs/>
                  <w:iCs/>
                  <w:color w:val="BFBFBF" w:themeColor="background1" w:themeShade="BF"/>
                  <w:sz w:val="20"/>
                  <w:szCs w:val="20"/>
                  <w:lang w:val="en-US"/>
                </w:rPr>
                <w:id w:val="2063142126"/>
              </w:sdtPr>
              <w:sdtContent>
                <w:r w:rsidR="00FC77AC" w:rsidRPr="00287194">
                  <w:rPr>
                    <w:rFonts w:ascii="Segoe UI Symbol" w:eastAsia="Calibri" w:hAnsi="Segoe UI Symbol" w:cs="Segoe UI Symbol"/>
                    <w:bCs/>
                    <w:iCs/>
                    <w:color w:val="BFBFBF" w:themeColor="background1" w:themeShade="BF"/>
                    <w:sz w:val="20"/>
                    <w:szCs w:val="20"/>
                    <w:lang w:val="en-US"/>
                  </w:rPr>
                  <w:t>☐</w:t>
                </w:r>
              </w:sdtContent>
            </w:sdt>
            <w:r w:rsidR="00FC77AC" w:rsidRPr="00287194">
              <w:rPr>
                <w:rFonts w:ascii="Arial" w:eastAsia="Calibri" w:hAnsi="Arial" w:cs="Arial"/>
                <w:bCs/>
                <w:iCs/>
                <w:color w:val="BFBFBF" w:themeColor="background1" w:themeShade="BF"/>
                <w:sz w:val="20"/>
                <w:szCs w:val="20"/>
                <w:lang w:val="en-US"/>
              </w:rPr>
              <w:t xml:space="preserve"> No</w:t>
            </w:r>
          </w:p>
        </w:tc>
      </w:tr>
      <w:tr w:rsidR="00FC77AC" w:rsidRPr="006B7572" w:rsidTr="00FE411C">
        <w:trPr>
          <w:trHeight w:val="423"/>
          <w:jc w:val="center"/>
        </w:trPr>
        <w:tc>
          <w:tcPr>
            <w:tcW w:w="6796" w:type="dxa"/>
            <w:shd w:val="clear" w:color="auto" w:fill="F2F2F2" w:themeFill="background1" w:themeFillShade="F2"/>
            <w:vAlign w:val="center"/>
          </w:tcPr>
          <w:p w:rsidR="00FC77AC" w:rsidRPr="006B7572" w:rsidRDefault="00FC77AC" w:rsidP="007205D8">
            <w:pPr>
              <w:pStyle w:val="ListParagraph"/>
              <w:numPr>
                <w:ilvl w:val="0"/>
                <w:numId w:val="2"/>
              </w:numPr>
              <w:spacing w:before="120" w:after="120" w:line="240" w:lineRule="auto"/>
              <w:ind w:left="276" w:hanging="284"/>
              <w:jc w:val="both"/>
              <w:rPr>
                <w:rFonts w:ascii="Arial" w:eastAsia="SimSun" w:hAnsi="Arial" w:cs="Arial"/>
                <w:sz w:val="20"/>
                <w:szCs w:val="20"/>
                <w:lang w:val="en-US" w:eastAsia="zh-CN"/>
              </w:rPr>
            </w:pPr>
            <w:r w:rsidRPr="006B7572">
              <w:rPr>
                <w:rFonts w:ascii="Arial" w:eastAsia="SimSun" w:hAnsi="Arial" w:cs="Arial"/>
                <w:sz w:val="20"/>
                <w:szCs w:val="20"/>
                <w:lang w:val="en-US" w:eastAsia="zh-CN"/>
              </w:rPr>
              <w:t xml:space="preserve">Does this application request Global Fund support for </w:t>
            </w:r>
            <w:r w:rsidR="003457BF" w:rsidRPr="006B7572">
              <w:rPr>
                <w:rFonts w:ascii="Arial" w:eastAsia="SimSun" w:hAnsi="Arial" w:cs="Arial"/>
                <w:sz w:val="20"/>
                <w:szCs w:val="20"/>
                <w:lang w:val="en-US" w:eastAsia="zh-CN"/>
              </w:rPr>
              <w:t xml:space="preserve">the </w:t>
            </w:r>
            <w:r w:rsidRPr="006B7572">
              <w:rPr>
                <w:rFonts w:ascii="Arial" w:eastAsia="SimSun" w:hAnsi="Arial" w:cs="Arial"/>
                <w:sz w:val="20"/>
                <w:szCs w:val="20"/>
                <w:lang w:val="en-US" w:eastAsia="zh-CN"/>
              </w:rPr>
              <w:t xml:space="preserve">institutionalization of expenditure tracking mechanisms such as National Health Accounts? </w:t>
            </w:r>
            <w:r w:rsidR="00256EAA" w:rsidRPr="006B7572">
              <w:rPr>
                <w:rFonts w:ascii="Arial" w:eastAsia="SimSun" w:hAnsi="Arial" w:cs="Arial"/>
                <w:sz w:val="20"/>
                <w:szCs w:val="20"/>
                <w:lang w:val="en-US" w:eastAsia="zh-CN"/>
              </w:rPr>
              <w:t xml:space="preserve">If yes or no, </w:t>
            </w:r>
            <w:r w:rsidR="00256EAA" w:rsidRPr="006B7572">
              <w:rPr>
                <w:rFonts w:ascii="Arial" w:eastAsia="Calibri" w:hAnsi="Arial" w:cs="Arial"/>
                <w:b/>
                <w:sz w:val="20"/>
                <w:szCs w:val="20"/>
                <w:lang w:val="en-US"/>
              </w:rPr>
              <w:t>sp</w:t>
            </w:r>
            <w:r w:rsidRPr="006B7572">
              <w:rPr>
                <w:rFonts w:ascii="Arial" w:eastAsia="Calibri" w:hAnsi="Arial" w:cs="Arial"/>
                <w:b/>
                <w:sz w:val="20"/>
                <w:szCs w:val="20"/>
                <w:lang w:val="en-US"/>
              </w:rPr>
              <w:t>ecify</w:t>
            </w:r>
            <w:r w:rsidR="00C77493" w:rsidRPr="006B7572">
              <w:rPr>
                <w:rFonts w:ascii="Arial" w:eastAsia="Calibri" w:hAnsi="Arial" w:cs="Arial"/>
                <w:sz w:val="20"/>
                <w:szCs w:val="20"/>
                <w:lang w:val="en-US"/>
              </w:rPr>
              <w:t xml:space="preserve">below </w:t>
            </w:r>
            <w:r w:rsidRPr="006B7572">
              <w:rPr>
                <w:rFonts w:ascii="Arial" w:eastAsia="Calibri" w:hAnsi="Arial" w:cs="Arial"/>
                <w:sz w:val="20"/>
                <w:szCs w:val="20"/>
                <w:lang w:val="en-US"/>
              </w:rPr>
              <w:t>how realization of co-financing commitments will be tracked and reported.</w:t>
            </w:r>
          </w:p>
        </w:tc>
        <w:tc>
          <w:tcPr>
            <w:tcW w:w="2096" w:type="dxa"/>
            <w:shd w:val="clear" w:color="auto" w:fill="auto"/>
            <w:vAlign w:val="center"/>
          </w:tcPr>
          <w:p w:rsidR="00FC77AC" w:rsidRPr="006B7572" w:rsidRDefault="00817B52" w:rsidP="00FC77AC">
            <w:pPr>
              <w:spacing w:before="120" w:after="120" w:line="240" w:lineRule="auto"/>
              <w:jc w:val="both"/>
              <w:rPr>
                <w:rFonts w:ascii="Arial" w:eastAsia="Calibri" w:hAnsi="Arial" w:cs="Arial"/>
                <w:bCs/>
                <w:iCs/>
                <w:sz w:val="20"/>
                <w:szCs w:val="20"/>
                <w:lang w:val="en-US"/>
              </w:rPr>
            </w:pPr>
            <w:sdt>
              <w:sdtPr>
                <w:rPr>
                  <w:rFonts w:ascii="Arial" w:eastAsia="Calibri" w:hAnsi="Arial" w:cs="Arial"/>
                  <w:bCs/>
                  <w:iCs/>
                  <w:color w:val="BFBFBF" w:themeColor="background1" w:themeShade="BF"/>
                  <w:sz w:val="20"/>
                  <w:szCs w:val="20"/>
                  <w:lang w:val="en-US"/>
                </w:rPr>
                <w:id w:val="1547263907"/>
              </w:sdtPr>
              <w:sdtContent>
                <w:r w:rsidR="00FC77AC" w:rsidRPr="00140C49">
                  <w:rPr>
                    <w:rFonts w:ascii="Segoe UI Symbol" w:eastAsia="Calibri" w:hAnsi="Segoe UI Symbol" w:cs="Segoe UI Symbol"/>
                    <w:bCs/>
                    <w:iCs/>
                    <w:color w:val="BFBFBF" w:themeColor="background1" w:themeShade="BF"/>
                    <w:sz w:val="20"/>
                    <w:szCs w:val="20"/>
                    <w:lang w:val="en-US"/>
                  </w:rPr>
                  <w:t>☐</w:t>
                </w:r>
              </w:sdtContent>
            </w:sdt>
            <w:r w:rsidR="00FC77AC" w:rsidRPr="00140C49">
              <w:rPr>
                <w:rFonts w:ascii="Arial" w:eastAsia="Calibri" w:hAnsi="Arial" w:cs="Arial"/>
                <w:bCs/>
                <w:iCs/>
                <w:color w:val="BFBFBF" w:themeColor="background1" w:themeShade="BF"/>
                <w:sz w:val="20"/>
                <w:szCs w:val="20"/>
                <w:lang w:val="en-US"/>
              </w:rPr>
              <w:t xml:space="preserve"> Yes</w:t>
            </w:r>
            <w:sdt>
              <w:sdtPr>
                <w:rPr>
                  <w:rFonts w:ascii="Arial" w:eastAsia="Calibri" w:hAnsi="Arial" w:cs="Arial"/>
                  <w:b/>
                  <w:bCs/>
                  <w:iCs/>
                  <w:sz w:val="20"/>
                  <w:szCs w:val="20"/>
                  <w:lang w:val="en-US"/>
                </w:rPr>
                <w:id w:val="1301727380"/>
              </w:sdtPr>
              <w:sdtContent>
                <w:r w:rsidR="00FC77AC" w:rsidRPr="00140C49">
                  <w:rPr>
                    <w:rFonts w:ascii="Segoe UI Symbol" w:eastAsia="Calibri" w:hAnsi="Segoe UI Symbol" w:cs="Segoe UI Symbol"/>
                    <w:b/>
                    <w:bCs/>
                    <w:iCs/>
                    <w:sz w:val="20"/>
                    <w:szCs w:val="20"/>
                    <w:lang w:val="en-US"/>
                  </w:rPr>
                  <w:t>☐</w:t>
                </w:r>
              </w:sdtContent>
            </w:sdt>
            <w:r w:rsidR="00FC77AC" w:rsidRPr="00140C49">
              <w:rPr>
                <w:rFonts w:ascii="Arial" w:eastAsia="Calibri" w:hAnsi="Arial" w:cs="Arial"/>
                <w:b/>
                <w:bCs/>
                <w:iCs/>
                <w:sz w:val="20"/>
                <w:szCs w:val="20"/>
                <w:lang w:val="en-US"/>
              </w:rPr>
              <w:t xml:space="preserve"> No</w:t>
            </w:r>
          </w:p>
        </w:tc>
      </w:tr>
      <w:tr w:rsidR="00FC77AC" w:rsidRPr="006B7572" w:rsidTr="00FE411C">
        <w:trPr>
          <w:trHeight w:val="423"/>
          <w:jc w:val="center"/>
        </w:trPr>
        <w:tc>
          <w:tcPr>
            <w:tcW w:w="8892" w:type="dxa"/>
            <w:gridSpan w:val="2"/>
            <w:shd w:val="clear" w:color="auto" w:fill="F2F2F2" w:themeFill="background1" w:themeFillShade="F2"/>
            <w:vAlign w:val="center"/>
          </w:tcPr>
          <w:p w:rsidR="00FC77AC" w:rsidRPr="006B7572" w:rsidRDefault="001631BD" w:rsidP="00FC77AC">
            <w:pPr>
              <w:spacing w:before="120" w:after="120" w:line="240" w:lineRule="auto"/>
              <w:rPr>
                <w:rFonts w:ascii="Arial" w:eastAsia="Calibri" w:hAnsi="Arial" w:cs="Arial"/>
                <w:b/>
                <w:bCs/>
                <w:iCs/>
                <w:sz w:val="20"/>
                <w:szCs w:val="20"/>
                <w:lang w:val="en-US"/>
              </w:rPr>
            </w:pPr>
            <w:r w:rsidRPr="006B7572">
              <w:rPr>
                <w:rFonts w:ascii="Arial" w:eastAsia="Calibri" w:hAnsi="Arial" w:cs="Arial"/>
                <w:b/>
                <w:bCs/>
                <w:iCs/>
                <w:sz w:val="20"/>
                <w:szCs w:val="20"/>
                <w:lang w:val="en-US"/>
              </w:rPr>
              <w:t>(maximum</w:t>
            </w:r>
            <w:r w:rsidR="00B2556B" w:rsidRPr="006B7572">
              <w:rPr>
                <w:rFonts w:ascii="Arial" w:eastAsia="Calibri" w:hAnsi="Arial" w:cs="Arial"/>
                <w:b/>
                <w:bCs/>
                <w:iCs/>
                <w:sz w:val="20"/>
                <w:szCs w:val="20"/>
                <w:lang w:val="en-US"/>
              </w:rPr>
              <w:t xml:space="preserve"> 2 </w:t>
            </w:r>
            <w:r w:rsidR="00FC77AC" w:rsidRPr="006B7572">
              <w:rPr>
                <w:rFonts w:ascii="Arial" w:eastAsia="Calibri" w:hAnsi="Arial" w:cs="Arial"/>
                <w:b/>
                <w:bCs/>
                <w:iCs/>
                <w:sz w:val="20"/>
                <w:szCs w:val="20"/>
                <w:lang w:val="en-US"/>
              </w:rPr>
              <w:t>page</w:t>
            </w:r>
            <w:r w:rsidR="00B2556B" w:rsidRPr="006B7572">
              <w:rPr>
                <w:rFonts w:ascii="Arial" w:eastAsia="Calibri" w:hAnsi="Arial" w:cs="Arial"/>
                <w:b/>
                <w:bCs/>
                <w:iCs/>
                <w:sz w:val="20"/>
                <w:szCs w:val="20"/>
                <w:lang w:val="en-US"/>
              </w:rPr>
              <w:t>s</w:t>
            </w:r>
            <w:r w:rsidR="00FC77AC" w:rsidRPr="006B7572">
              <w:rPr>
                <w:rFonts w:ascii="Arial" w:eastAsia="Calibri" w:hAnsi="Arial" w:cs="Arial"/>
                <w:b/>
                <w:bCs/>
                <w:iCs/>
                <w:sz w:val="20"/>
                <w:szCs w:val="20"/>
                <w:lang w:val="en-US"/>
              </w:rPr>
              <w:t>)</w:t>
            </w:r>
          </w:p>
        </w:tc>
      </w:tr>
    </w:tbl>
    <w:p w:rsidR="005A62F6" w:rsidRDefault="002D19E8" w:rsidP="00042DCA">
      <w:pPr>
        <w:spacing w:before="240"/>
        <w:rPr>
          <w:rFonts w:ascii="Arial" w:hAnsi="Arial" w:cs="Arial"/>
          <w:sz w:val="20"/>
          <w:szCs w:val="20"/>
        </w:rPr>
      </w:pPr>
      <w:r w:rsidRPr="006B7572">
        <w:rPr>
          <w:rFonts w:ascii="Arial" w:hAnsi="Arial" w:cs="Arial"/>
          <w:sz w:val="20"/>
          <w:szCs w:val="20"/>
        </w:rPr>
        <w:t>[</w:t>
      </w:r>
      <w:r w:rsidR="00FC77AC" w:rsidRPr="006B7572">
        <w:rPr>
          <w:rFonts w:ascii="Arial" w:hAnsi="Arial" w:cs="Arial"/>
          <w:i/>
          <w:sz w:val="20"/>
          <w:szCs w:val="20"/>
        </w:rPr>
        <w:t>Applicant response</w:t>
      </w:r>
      <w:r w:rsidRPr="006B7572">
        <w:rPr>
          <w:rFonts w:ascii="Arial" w:hAnsi="Arial" w:cs="Arial"/>
          <w:sz w:val="20"/>
          <w:szCs w:val="20"/>
        </w:rPr>
        <w:t>]</w:t>
      </w:r>
      <w:r w:rsidR="00FC77AC" w:rsidRPr="006B7572">
        <w:rPr>
          <w:rFonts w:ascii="Arial" w:hAnsi="Arial" w:cs="Arial"/>
          <w:sz w:val="20"/>
          <w:szCs w:val="20"/>
        </w:rPr>
        <w:t>:</w:t>
      </w:r>
    </w:p>
    <w:p w:rsidR="00AB7915" w:rsidRPr="004C0526" w:rsidRDefault="000A459A" w:rsidP="00AB7915">
      <w:pPr>
        <w:widowControl w:val="0"/>
        <w:autoSpaceDE w:val="0"/>
        <w:autoSpaceDN w:val="0"/>
        <w:adjustRightInd w:val="0"/>
        <w:spacing w:after="120" w:line="240" w:lineRule="auto"/>
        <w:rPr>
          <w:rFonts w:ascii="Arial" w:hAnsi="Arial" w:cs="Arial"/>
          <w:sz w:val="20"/>
          <w:szCs w:val="20"/>
        </w:rPr>
      </w:pPr>
      <w:r w:rsidRPr="004C0526">
        <w:rPr>
          <w:rFonts w:ascii="Arial" w:hAnsi="Arial" w:cs="Arial"/>
          <w:sz w:val="20"/>
          <w:szCs w:val="20"/>
          <w:lang w:val="en-US"/>
        </w:rPr>
        <w:t xml:space="preserve">a). </w:t>
      </w:r>
      <w:r w:rsidR="00840212" w:rsidRPr="004C0526">
        <w:rPr>
          <w:rFonts w:ascii="Arial" w:hAnsi="Arial" w:cs="Arial"/>
          <w:sz w:val="20"/>
          <w:szCs w:val="20"/>
          <w:lang w:val="en-US"/>
        </w:rPr>
        <w:t>GoB</w:t>
      </w:r>
      <w:r w:rsidR="000B6E6D" w:rsidRPr="004C0526">
        <w:rPr>
          <w:rFonts w:ascii="Arial" w:hAnsi="Arial" w:cs="Arial"/>
          <w:sz w:val="20"/>
          <w:szCs w:val="20"/>
          <w:lang w:val="en-US"/>
        </w:rPr>
        <w:t xml:space="preserve"> has adopted a healthcare financing strategy </w:t>
      </w:r>
      <w:r w:rsidR="0067435D" w:rsidRPr="004C0526">
        <w:rPr>
          <w:rFonts w:ascii="Arial" w:hAnsi="Arial" w:cs="Arial"/>
          <w:sz w:val="20"/>
          <w:szCs w:val="20"/>
          <w:lang w:val="en-US"/>
        </w:rPr>
        <w:t>to support the</w:t>
      </w:r>
      <w:r w:rsidR="000B6E6D" w:rsidRPr="004C0526">
        <w:rPr>
          <w:rFonts w:ascii="Arial" w:hAnsi="Arial" w:cs="Arial"/>
          <w:sz w:val="20"/>
          <w:szCs w:val="20"/>
          <w:lang w:val="en-US"/>
        </w:rPr>
        <w:t xml:space="preserve"> move toward </w:t>
      </w:r>
      <w:r w:rsidR="00512F73" w:rsidRPr="004C0526">
        <w:rPr>
          <w:rFonts w:ascii="Arial" w:hAnsi="Arial" w:cs="Arial"/>
          <w:sz w:val="20"/>
          <w:szCs w:val="20"/>
          <w:lang w:val="en-US"/>
        </w:rPr>
        <w:t>U</w:t>
      </w:r>
      <w:r w:rsidR="000B6E6D" w:rsidRPr="004C0526">
        <w:rPr>
          <w:rFonts w:ascii="Arial" w:hAnsi="Arial" w:cs="Arial"/>
          <w:sz w:val="20"/>
          <w:szCs w:val="20"/>
          <w:lang w:val="en-US"/>
        </w:rPr>
        <w:t xml:space="preserve">niversal </w:t>
      </w:r>
      <w:r w:rsidR="00512F73" w:rsidRPr="004C0526">
        <w:rPr>
          <w:rFonts w:ascii="Arial" w:hAnsi="Arial" w:cs="Arial"/>
          <w:sz w:val="20"/>
          <w:szCs w:val="20"/>
          <w:lang w:val="en-US"/>
        </w:rPr>
        <w:t>H</w:t>
      </w:r>
      <w:r w:rsidR="000B6E6D" w:rsidRPr="004C0526">
        <w:rPr>
          <w:rFonts w:ascii="Arial" w:hAnsi="Arial" w:cs="Arial"/>
          <w:sz w:val="20"/>
          <w:szCs w:val="20"/>
          <w:lang w:val="en-US"/>
        </w:rPr>
        <w:t xml:space="preserve">ealth </w:t>
      </w:r>
      <w:r w:rsidR="00512F73" w:rsidRPr="004C0526">
        <w:rPr>
          <w:rFonts w:ascii="Arial" w:hAnsi="Arial" w:cs="Arial"/>
          <w:sz w:val="20"/>
          <w:szCs w:val="20"/>
          <w:lang w:val="en-US"/>
        </w:rPr>
        <w:t>C</w:t>
      </w:r>
      <w:r w:rsidR="000B6E6D" w:rsidRPr="004C0526">
        <w:rPr>
          <w:rFonts w:ascii="Arial" w:hAnsi="Arial" w:cs="Arial"/>
          <w:sz w:val="20"/>
          <w:szCs w:val="20"/>
          <w:lang w:val="en-US"/>
        </w:rPr>
        <w:t xml:space="preserve">overage </w:t>
      </w:r>
      <w:r w:rsidR="00512F73" w:rsidRPr="004C0526">
        <w:rPr>
          <w:rFonts w:ascii="Arial" w:hAnsi="Arial" w:cs="Arial"/>
          <w:sz w:val="20"/>
          <w:szCs w:val="20"/>
          <w:lang w:val="en-US"/>
        </w:rPr>
        <w:t xml:space="preserve">(UHC) </w:t>
      </w:r>
      <w:r w:rsidR="000B6E6D" w:rsidRPr="004C0526">
        <w:rPr>
          <w:rFonts w:ascii="Arial" w:hAnsi="Arial" w:cs="Arial"/>
          <w:sz w:val="20"/>
          <w:szCs w:val="20"/>
          <w:lang w:val="en-US"/>
        </w:rPr>
        <w:t>by 2032</w:t>
      </w:r>
      <w:r w:rsidR="00512F73" w:rsidRPr="004C0526">
        <w:rPr>
          <w:rFonts w:ascii="Arial" w:hAnsi="Arial" w:cs="Arial"/>
          <w:sz w:val="20"/>
          <w:szCs w:val="20"/>
          <w:lang w:val="en-US"/>
        </w:rPr>
        <w:t xml:space="preserve"> in the context of the Sustainable Development Goals (SDGs)</w:t>
      </w:r>
      <w:r w:rsidR="000B6E6D" w:rsidRPr="004C0526">
        <w:rPr>
          <w:rFonts w:ascii="Arial" w:hAnsi="Arial" w:cs="Arial"/>
          <w:sz w:val="20"/>
          <w:szCs w:val="20"/>
          <w:lang w:val="en-US"/>
        </w:rPr>
        <w:t xml:space="preserve">. </w:t>
      </w:r>
      <w:r w:rsidR="0067435D" w:rsidRPr="004C0526">
        <w:rPr>
          <w:rFonts w:ascii="Arial" w:hAnsi="Arial" w:cs="Arial"/>
          <w:sz w:val="20"/>
          <w:szCs w:val="20"/>
        </w:rPr>
        <w:t xml:space="preserve">The Health Care Financing Strategy 2012-2032 provides a framework for developing and advancing health financing in Bangladesh. The framework </w:t>
      </w:r>
      <w:r w:rsidR="00512F73" w:rsidRPr="004C0526">
        <w:rPr>
          <w:rFonts w:ascii="Arial" w:hAnsi="Arial" w:cs="Arial"/>
          <w:sz w:val="20"/>
          <w:szCs w:val="20"/>
        </w:rPr>
        <w:t>is</w:t>
      </w:r>
      <w:r w:rsidR="0067435D" w:rsidRPr="004C0526">
        <w:rPr>
          <w:rFonts w:ascii="Arial" w:hAnsi="Arial" w:cs="Arial"/>
          <w:sz w:val="20"/>
          <w:szCs w:val="20"/>
        </w:rPr>
        <w:t xml:space="preserve"> aimed at increasing the level of funding for health, ensuring an equitable distribution of the health financing burden, improving access to essential health services, reducing the incidence of impoverishment due to catast</w:t>
      </w:r>
      <w:r w:rsidR="00512F73" w:rsidRPr="004C0526">
        <w:rPr>
          <w:rFonts w:ascii="Arial" w:hAnsi="Arial" w:cs="Arial"/>
          <w:sz w:val="20"/>
          <w:szCs w:val="20"/>
        </w:rPr>
        <w:t>rophic health</w:t>
      </w:r>
      <w:r w:rsidR="00AB7915" w:rsidRPr="004C0526">
        <w:rPr>
          <w:rFonts w:ascii="Arial" w:hAnsi="Arial" w:cs="Arial"/>
          <w:sz w:val="20"/>
          <w:szCs w:val="20"/>
        </w:rPr>
        <w:t xml:space="preserve">care expenditures and </w:t>
      </w:r>
      <w:r w:rsidR="0067435D" w:rsidRPr="004C0526">
        <w:rPr>
          <w:rFonts w:ascii="Arial" w:hAnsi="Arial" w:cs="Arial"/>
          <w:sz w:val="20"/>
          <w:szCs w:val="20"/>
        </w:rPr>
        <w:t xml:space="preserve">improving quality and efficiency of service delivery. </w:t>
      </w:r>
      <w:r w:rsidR="00AB7915" w:rsidRPr="004C0526">
        <w:rPr>
          <w:rFonts w:ascii="Arial" w:hAnsi="Arial" w:cs="Arial"/>
          <w:sz w:val="20"/>
          <w:szCs w:val="20"/>
        </w:rPr>
        <w:t xml:space="preserve">At the same time the strategy outlines actionable mechanisms to capture private spending and channel it efficiently in prepayment and pooling arrangements. It puts emphasis on extending financial protection to all segments of the population. </w:t>
      </w:r>
    </w:p>
    <w:p w:rsidR="00215CCE" w:rsidRPr="009328F4" w:rsidRDefault="005106F8" w:rsidP="000A459A">
      <w:pPr>
        <w:widowControl w:val="0"/>
        <w:spacing w:after="120" w:line="240" w:lineRule="auto"/>
        <w:rPr>
          <w:rFonts w:ascii="Arial" w:hAnsi="Arial" w:cs="Arial"/>
          <w:sz w:val="20"/>
          <w:szCs w:val="20"/>
        </w:rPr>
      </w:pPr>
      <w:r w:rsidRPr="009328F4">
        <w:rPr>
          <w:rFonts w:ascii="Arial" w:hAnsi="Arial" w:cs="Arial"/>
          <w:sz w:val="20"/>
          <w:szCs w:val="20"/>
        </w:rPr>
        <w:t>c). I</w:t>
      </w:r>
    </w:p>
    <w:p w:rsidR="00760AC9" w:rsidRDefault="00EA5D65" w:rsidP="000A459A">
      <w:pPr>
        <w:widowControl w:val="0"/>
        <w:spacing w:after="120" w:line="240" w:lineRule="auto"/>
        <w:rPr>
          <w:rFonts w:ascii="Arial" w:hAnsi="Arial" w:cs="Arial"/>
          <w:sz w:val="20"/>
          <w:szCs w:val="20"/>
        </w:rPr>
      </w:pPr>
      <w:r>
        <w:rPr>
          <w:rFonts w:ascii="Arial" w:hAnsi="Arial" w:cs="Arial"/>
          <w:sz w:val="20"/>
          <w:szCs w:val="20"/>
        </w:rPr>
        <w:t xml:space="preserve">d). </w:t>
      </w:r>
      <w:r w:rsidR="00665B08">
        <w:rPr>
          <w:rFonts w:ascii="Arial" w:hAnsi="Arial" w:cs="Arial"/>
          <w:sz w:val="20"/>
          <w:szCs w:val="20"/>
        </w:rPr>
        <w:t>Planned GoB financial support for the NSPME will fluctuate over the coming years according to programmatic requirements (figure 4.1</w:t>
      </w:r>
      <w:r w:rsidR="006D018B">
        <w:rPr>
          <w:rFonts w:ascii="Arial" w:hAnsi="Arial" w:cs="Arial"/>
          <w:sz w:val="20"/>
          <w:szCs w:val="20"/>
        </w:rPr>
        <w:t xml:space="preserve"> below</w:t>
      </w:r>
      <w:r w:rsidR="00665B08">
        <w:rPr>
          <w:rFonts w:ascii="Arial" w:hAnsi="Arial" w:cs="Arial"/>
          <w:sz w:val="20"/>
          <w:szCs w:val="20"/>
        </w:rPr>
        <w:t>). Overall financial support will increase by 32% during 201</w:t>
      </w:r>
      <w:r w:rsidR="00A626A3">
        <w:rPr>
          <w:rFonts w:ascii="Arial" w:hAnsi="Arial" w:cs="Arial"/>
          <w:sz w:val="20"/>
          <w:szCs w:val="20"/>
        </w:rPr>
        <w:t>7-19 relative to the previous 3-</w:t>
      </w:r>
      <w:r w:rsidR="00665B08">
        <w:rPr>
          <w:rFonts w:ascii="Arial" w:hAnsi="Arial" w:cs="Arial"/>
          <w:sz w:val="20"/>
          <w:szCs w:val="20"/>
        </w:rPr>
        <w:t xml:space="preserve">year period (up from US$8.5M to US$11.3M). </w:t>
      </w:r>
    </w:p>
    <w:p w:rsidR="00140C49" w:rsidRDefault="007D5A44" w:rsidP="000A459A">
      <w:pPr>
        <w:widowControl w:val="0"/>
        <w:spacing w:after="120" w:line="240" w:lineRule="auto"/>
        <w:rPr>
          <w:rFonts w:ascii="Arial" w:hAnsi="Arial" w:cs="Arial"/>
          <w:sz w:val="20"/>
          <w:szCs w:val="20"/>
        </w:rPr>
      </w:pPr>
      <w:r>
        <w:rPr>
          <w:rFonts w:ascii="Arial" w:hAnsi="Arial" w:cs="Arial"/>
          <w:sz w:val="20"/>
          <w:szCs w:val="20"/>
        </w:rPr>
        <w:t xml:space="preserve">e). </w:t>
      </w:r>
      <w:r>
        <w:rPr>
          <w:rFonts w:ascii="Arial" w:eastAsia="Calibri" w:hAnsi="Arial" w:cs="Arial"/>
          <w:sz w:val="20"/>
          <w:szCs w:val="20"/>
          <w:lang w:val="en-US"/>
        </w:rPr>
        <w:t>R</w:t>
      </w:r>
      <w:r w:rsidRPr="006B7572">
        <w:rPr>
          <w:rFonts w:ascii="Arial" w:eastAsia="Calibri" w:hAnsi="Arial" w:cs="Arial"/>
          <w:sz w:val="20"/>
          <w:szCs w:val="20"/>
          <w:lang w:val="en-US"/>
        </w:rPr>
        <w:t>ealization of co-financing commitments will be tracked</w:t>
      </w:r>
      <w:r>
        <w:rPr>
          <w:rFonts w:ascii="Arial" w:eastAsia="Calibri" w:hAnsi="Arial" w:cs="Arial"/>
          <w:sz w:val="20"/>
          <w:szCs w:val="20"/>
          <w:lang w:val="en-US"/>
        </w:rPr>
        <w:t xml:space="preserve"> by NMEP’s Finance Department</w:t>
      </w:r>
      <w:r w:rsidR="006D018B">
        <w:rPr>
          <w:rFonts w:ascii="Arial" w:eastAsia="Calibri" w:hAnsi="Arial" w:cs="Arial"/>
          <w:sz w:val="20"/>
          <w:szCs w:val="20"/>
          <w:lang w:val="en-US"/>
        </w:rPr>
        <w:t xml:space="preserve">(based on the annual progress report of the CDC Operational Plan) </w:t>
      </w:r>
      <w:r w:rsidRPr="006B7572">
        <w:rPr>
          <w:rFonts w:ascii="Arial" w:eastAsia="Calibri" w:hAnsi="Arial" w:cs="Arial"/>
          <w:sz w:val="20"/>
          <w:szCs w:val="20"/>
          <w:lang w:val="en-US"/>
        </w:rPr>
        <w:t>and reported</w:t>
      </w:r>
      <w:r>
        <w:rPr>
          <w:rFonts w:ascii="Arial" w:eastAsia="Calibri" w:hAnsi="Arial" w:cs="Arial"/>
          <w:sz w:val="20"/>
          <w:szCs w:val="20"/>
          <w:lang w:val="en-US"/>
        </w:rPr>
        <w:t xml:space="preserve"> to the Global Fund on an annual basis</w:t>
      </w:r>
      <w:r w:rsidRPr="006B7572">
        <w:rPr>
          <w:rFonts w:ascii="Arial" w:eastAsia="Calibri" w:hAnsi="Arial" w:cs="Arial"/>
          <w:sz w:val="20"/>
          <w:szCs w:val="20"/>
          <w:lang w:val="en-US"/>
        </w:rPr>
        <w:t>.</w:t>
      </w:r>
    </w:p>
    <w:p w:rsidR="00140C49" w:rsidRDefault="00140C49" w:rsidP="000A459A">
      <w:pPr>
        <w:widowControl w:val="0"/>
        <w:spacing w:after="120" w:line="240" w:lineRule="auto"/>
        <w:rPr>
          <w:rFonts w:ascii="Arial" w:hAnsi="Arial" w:cs="Arial"/>
          <w:sz w:val="20"/>
          <w:szCs w:val="20"/>
        </w:rPr>
      </w:pPr>
    </w:p>
    <w:p w:rsidR="00140C49" w:rsidRDefault="00140C49" w:rsidP="000A459A">
      <w:pPr>
        <w:widowControl w:val="0"/>
        <w:spacing w:after="120" w:line="240" w:lineRule="auto"/>
        <w:rPr>
          <w:rFonts w:ascii="Arial" w:hAnsi="Arial" w:cs="Arial"/>
          <w:sz w:val="20"/>
          <w:szCs w:val="20"/>
        </w:rPr>
      </w:pPr>
    </w:p>
    <w:p w:rsidR="00140C49" w:rsidRPr="004040A5" w:rsidRDefault="00140C49" w:rsidP="000A459A">
      <w:pPr>
        <w:widowControl w:val="0"/>
        <w:spacing w:after="120" w:line="240" w:lineRule="auto"/>
        <w:rPr>
          <w:rFonts w:ascii="Arial" w:hAnsi="Arial" w:cs="Arial"/>
          <w:b/>
          <w:sz w:val="20"/>
          <w:szCs w:val="20"/>
        </w:rPr>
      </w:pPr>
      <w:r w:rsidRPr="004040A5">
        <w:rPr>
          <w:rFonts w:ascii="Arial" w:hAnsi="Arial" w:cs="Arial"/>
          <w:b/>
          <w:sz w:val="20"/>
          <w:szCs w:val="20"/>
          <w:lang w:val="en-US"/>
        </w:rPr>
        <w:t>Figure 4.1. Government resources for the NSP (previous current and anticipated).</w:t>
      </w:r>
    </w:p>
    <w:p w:rsidR="00760AC9" w:rsidRPr="000A459A" w:rsidRDefault="00140C49" w:rsidP="000A459A">
      <w:pPr>
        <w:widowControl w:val="0"/>
        <w:spacing w:after="120" w:line="240" w:lineRule="auto"/>
        <w:rPr>
          <w:rFonts w:ascii="Arial" w:hAnsi="Arial" w:cs="Arial"/>
          <w:sz w:val="20"/>
          <w:szCs w:val="20"/>
        </w:rPr>
      </w:pPr>
      <w:r>
        <w:rPr>
          <w:noProof/>
          <w:lang w:eastAsia="en-GB"/>
        </w:rPr>
        <w:drawing>
          <wp:inline distT="0" distB="0" distL="0" distR="0">
            <wp:extent cx="5473700" cy="24511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411C" w:rsidRPr="006B7572" w:rsidRDefault="00FE411C">
      <w:pPr>
        <w:rPr>
          <w:rFonts w:ascii="Arial" w:hAnsi="Arial" w:cs="Arial"/>
          <w:sz w:val="20"/>
          <w:szCs w:val="20"/>
        </w:rPr>
      </w:pPr>
      <w:r w:rsidRPr="006B7572">
        <w:rPr>
          <w:rFonts w:ascii="Arial" w:hAnsi="Arial" w:cs="Arial"/>
          <w:sz w:val="20"/>
          <w:szCs w:val="20"/>
        </w:rPr>
        <w:br w:type="page"/>
      </w:r>
    </w:p>
    <w:tbl>
      <w:tblPr>
        <w:tblW w:w="8789" w:type="dxa"/>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tblPr>
      <w:tblGrid>
        <w:gridCol w:w="8789"/>
      </w:tblGrid>
      <w:tr w:rsidR="00215CCE" w:rsidRPr="006B7572" w:rsidTr="00FE411C">
        <w:trPr>
          <w:trHeight w:val="420"/>
        </w:trPr>
        <w:tc>
          <w:tcPr>
            <w:tcW w:w="8789" w:type="dxa"/>
            <w:shd w:val="clear" w:color="auto" w:fill="C6D9F1"/>
          </w:tcPr>
          <w:p w:rsidR="00215CCE" w:rsidRPr="006B7572" w:rsidRDefault="00215CCE" w:rsidP="00215CCE">
            <w:pPr>
              <w:keepNext/>
              <w:keepLines/>
              <w:tabs>
                <w:tab w:val="left" w:pos="8100"/>
              </w:tabs>
              <w:spacing w:before="120" w:after="120" w:line="240" w:lineRule="auto"/>
              <w:jc w:val="both"/>
              <w:rPr>
                <w:rFonts w:ascii="Arial" w:eastAsia="Calibri" w:hAnsi="Arial" w:cs="Arial"/>
                <w:bCs/>
                <w:sz w:val="20"/>
                <w:szCs w:val="20"/>
                <w:lang w:val="en-US"/>
              </w:rPr>
            </w:pPr>
            <w:r w:rsidRPr="006B7572">
              <w:rPr>
                <w:rFonts w:ascii="Arial" w:eastAsia="Calibri" w:hAnsi="Arial" w:cs="Arial"/>
                <w:b/>
                <w:sz w:val="20"/>
                <w:szCs w:val="20"/>
                <w:lang w:val="en-US"/>
              </w:rPr>
              <w:lastRenderedPageBreak/>
              <w:t>4.2  Sustainability</w:t>
            </w:r>
          </w:p>
        </w:tc>
      </w:tr>
      <w:tr w:rsidR="00215CCE" w:rsidRPr="006B7572" w:rsidTr="00FE411C">
        <w:trPr>
          <w:trHeight w:val="480"/>
        </w:trPr>
        <w:tc>
          <w:tcPr>
            <w:tcW w:w="8789" w:type="dxa"/>
            <w:shd w:val="clear" w:color="auto" w:fill="F2F2F2" w:themeFill="background1" w:themeFillShade="F2"/>
            <w:vAlign w:val="center"/>
          </w:tcPr>
          <w:p w:rsidR="003457BF" w:rsidRPr="006B7572" w:rsidRDefault="0089492B" w:rsidP="00386FF7">
            <w:pPr>
              <w:spacing w:before="120" w:after="120" w:line="240" w:lineRule="auto"/>
              <w:jc w:val="both"/>
              <w:rPr>
                <w:rFonts w:ascii="Arial" w:eastAsia="SimSun" w:hAnsi="Arial" w:cs="Arial"/>
                <w:sz w:val="20"/>
                <w:szCs w:val="20"/>
                <w:lang w:val="en-US" w:eastAsia="zh-CN"/>
              </w:rPr>
            </w:pPr>
            <w:r w:rsidRPr="006B7572">
              <w:rPr>
                <w:rFonts w:ascii="Arial" w:eastAsia="SimSun" w:hAnsi="Arial" w:cs="Arial"/>
                <w:sz w:val="20"/>
                <w:szCs w:val="20"/>
                <w:lang w:val="en-US" w:eastAsia="zh-CN"/>
              </w:rPr>
              <w:t xml:space="preserve">Describe below how the government will </w:t>
            </w:r>
            <w:r w:rsidR="00C106F2" w:rsidRPr="006B7572">
              <w:rPr>
                <w:rFonts w:ascii="Arial" w:eastAsia="SimSun" w:hAnsi="Arial" w:cs="Arial"/>
                <w:sz w:val="20"/>
                <w:szCs w:val="20"/>
                <w:lang w:val="en-US" w:eastAsia="zh-CN"/>
              </w:rPr>
              <w:t>increasingly</w:t>
            </w:r>
            <w:r w:rsidRPr="006B7572">
              <w:rPr>
                <w:rFonts w:ascii="Arial" w:eastAsia="SimSun" w:hAnsi="Arial" w:cs="Arial"/>
                <w:sz w:val="20"/>
                <w:szCs w:val="20"/>
                <w:lang w:val="en-US" w:eastAsia="zh-CN"/>
              </w:rPr>
              <w:t xml:space="preserve"> take up </w:t>
            </w:r>
            <w:r w:rsidR="00832DBA" w:rsidRPr="006B7572">
              <w:rPr>
                <w:rFonts w:ascii="Arial" w:eastAsia="SimSun" w:hAnsi="Arial" w:cs="Arial"/>
                <w:sz w:val="20"/>
                <w:szCs w:val="20"/>
                <w:lang w:val="en-US" w:eastAsia="zh-CN"/>
              </w:rPr>
              <w:t xml:space="preserve">health program costs, </w:t>
            </w:r>
            <w:r w:rsidRPr="006B7572">
              <w:rPr>
                <w:rFonts w:ascii="Arial" w:eastAsia="SimSun" w:hAnsi="Arial" w:cs="Arial"/>
                <w:sz w:val="20"/>
                <w:szCs w:val="20"/>
                <w:lang w:val="en-US" w:eastAsia="zh-CN"/>
              </w:rPr>
              <w:t>and actions to improve sustainability of Global Fund financed programs</w:t>
            </w:r>
            <w:r w:rsidR="003457BF" w:rsidRPr="006B7572">
              <w:rPr>
                <w:rFonts w:ascii="Arial" w:eastAsia="SimSun" w:hAnsi="Arial" w:cs="Arial"/>
                <w:sz w:val="20"/>
                <w:szCs w:val="20"/>
                <w:lang w:val="en-US" w:eastAsia="zh-CN"/>
              </w:rPr>
              <w:t>.</w:t>
            </w:r>
            <w:r w:rsidR="003F39C8" w:rsidRPr="006B7572">
              <w:rPr>
                <w:rFonts w:ascii="Arial" w:eastAsia="SimSun" w:hAnsi="Arial" w:cs="Arial"/>
                <w:sz w:val="20"/>
                <w:szCs w:val="20"/>
                <w:lang w:val="en-US" w:eastAsia="zh-CN"/>
              </w:rPr>
              <w:t xml:space="preserve"> Specifically,</w:t>
            </w:r>
          </w:p>
          <w:p w:rsidR="00F57EBD" w:rsidRPr="006B7572" w:rsidRDefault="00FB2411" w:rsidP="007205D8">
            <w:pPr>
              <w:pStyle w:val="ListParagraph"/>
              <w:numPr>
                <w:ilvl w:val="0"/>
                <w:numId w:val="5"/>
              </w:numPr>
              <w:spacing w:after="200" w:line="276" w:lineRule="auto"/>
              <w:jc w:val="both"/>
              <w:rPr>
                <w:rFonts w:ascii="Arial" w:eastAsia="Calibri" w:hAnsi="Arial" w:cs="Arial"/>
                <w:sz w:val="20"/>
                <w:szCs w:val="20"/>
                <w:lang w:val="en-US"/>
              </w:rPr>
            </w:pPr>
            <w:r w:rsidRPr="006B7572">
              <w:rPr>
                <w:rFonts w:ascii="Arial" w:eastAsia="Calibri" w:hAnsi="Arial" w:cs="Arial"/>
                <w:sz w:val="20"/>
                <w:szCs w:val="20"/>
                <w:lang w:val="en-US"/>
              </w:rPr>
              <w:t>Explain the</w:t>
            </w:r>
            <w:r w:rsidR="00F57EBD" w:rsidRPr="006B7572">
              <w:rPr>
                <w:rFonts w:ascii="Arial" w:eastAsia="Calibri" w:hAnsi="Arial" w:cs="Arial"/>
                <w:sz w:val="20"/>
                <w:szCs w:val="20"/>
                <w:lang w:val="en-US"/>
              </w:rPr>
              <w:t xml:space="preserve"> costs, availability of funds and </w:t>
            </w:r>
            <w:r w:rsidRPr="006B7572">
              <w:rPr>
                <w:rFonts w:ascii="Arial" w:eastAsia="Calibri" w:hAnsi="Arial" w:cs="Arial"/>
                <w:sz w:val="20"/>
                <w:szCs w:val="20"/>
                <w:lang w:val="en-US"/>
              </w:rPr>
              <w:t xml:space="preserve">the </w:t>
            </w:r>
            <w:r w:rsidR="00F57EBD" w:rsidRPr="006B7572">
              <w:rPr>
                <w:rFonts w:ascii="Arial" w:eastAsia="Calibri" w:hAnsi="Arial" w:cs="Arial"/>
                <w:sz w:val="20"/>
                <w:szCs w:val="20"/>
                <w:lang w:val="en-US"/>
              </w:rPr>
              <w:t>funding gap for major program areas. Specify in particular how the government will increasingly take up key costs of national disease plans and/or support he</w:t>
            </w:r>
            <w:r w:rsidR="004049E0">
              <w:rPr>
                <w:rFonts w:ascii="Arial" w:eastAsia="Calibri" w:hAnsi="Arial" w:cs="Arial"/>
                <w:sz w:val="20"/>
                <w:szCs w:val="20"/>
                <w:lang w:val="en-US"/>
              </w:rPr>
              <w:t>alth systems; including scaling-</w:t>
            </w:r>
            <w:r w:rsidR="00F57EBD" w:rsidRPr="006B7572">
              <w:rPr>
                <w:rFonts w:ascii="Arial" w:eastAsia="Calibri" w:hAnsi="Arial" w:cs="Arial"/>
                <w:sz w:val="20"/>
                <w:szCs w:val="20"/>
                <w:lang w:val="en-US"/>
              </w:rPr>
              <w:t>up investments in programs for key and vulnerable population, removal of human rights and gender-related barriers and enabling environment interventions.</w:t>
            </w:r>
          </w:p>
          <w:p w:rsidR="00F57EBD" w:rsidRPr="006B7572" w:rsidRDefault="00F57EBD" w:rsidP="007205D8">
            <w:pPr>
              <w:pStyle w:val="ListParagraph"/>
              <w:numPr>
                <w:ilvl w:val="0"/>
                <w:numId w:val="5"/>
              </w:numPr>
              <w:spacing w:after="200" w:line="276" w:lineRule="auto"/>
              <w:jc w:val="both"/>
              <w:rPr>
                <w:rFonts w:ascii="Arial" w:eastAsia="Calibri" w:hAnsi="Arial" w:cs="Arial"/>
                <w:sz w:val="20"/>
                <w:szCs w:val="20"/>
                <w:lang w:val="en-US"/>
              </w:rPr>
            </w:pPr>
            <w:r w:rsidRPr="006B7572">
              <w:rPr>
                <w:rFonts w:ascii="Arial" w:eastAsia="Calibri" w:hAnsi="Arial" w:cs="Arial"/>
                <w:sz w:val="20"/>
                <w:szCs w:val="20"/>
                <w:lang w:val="en-US"/>
              </w:rPr>
              <w:t>Describe actions to improve sustainability of Global Fund financed programs. Specifically, highlight key sustainability challenges of the program(s) covered by the funding request, and any current and/or planned actions to address them.</w:t>
            </w:r>
          </w:p>
          <w:p w:rsidR="00215CCE" w:rsidRPr="006B7572" w:rsidRDefault="001631BD" w:rsidP="00386FF7">
            <w:pPr>
              <w:spacing w:before="120" w:after="120" w:line="240" w:lineRule="auto"/>
              <w:jc w:val="both"/>
              <w:rPr>
                <w:rFonts w:ascii="Arial" w:eastAsia="Calibri" w:hAnsi="Arial" w:cs="Arial"/>
                <w:b/>
                <w:sz w:val="20"/>
                <w:szCs w:val="20"/>
                <w:lang w:val="en-US"/>
              </w:rPr>
            </w:pPr>
            <w:r w:rsidRPr="006B7572">
              <w:rPr>
                <w:rFonts w:ascii="Arial" w:eastAsia="SimSun" w:hAnsi="Arial" w:cs="Arial"/>
                <w:b/>
                <w:sz w:val="20"/>
                <w:szCs w:val="20"/>
                <w:lang w:val="en-US" w:eastAsia="zh-CN"/>
              </w:rPr>
              <w:t>(maximum</w:t>
            </w:r>
            <w:r w:rsidR="00215CCE" w:rsidRPr="006B7572">
              <w:rPr>
                <w:rFonts w:ascii="Arial" w:eastAsia="SimSun" w:hAnsi="Arial" w:cs="Arial"/>
                <w:b/>
                <w:sz w:val="20"/>
                <w:szCs w:val="20"/>
                <w:lang w:val="en-US" w:eastAsia="zh-CN"/>
              </w:rPr>
              <w:t xml:space="preserve"> 1 page)</w:t>
            </w:r>
          </w:p>
        </w:tc>
      </w:tr>
    </w:tbl>
    <w:p w:rsidR="00FC77AC" w:rsidRPr="006B7572" w:rsidRDefault="002D19E8" w:rsidP="00042DCA">
      <w:pPr>
        <w:spacing w:before="240"/>
        <w:rPr>
          <w:rFonts w:ascii="Arial" w:hAnsi="Arial" w:cs="Arial"/>
          <w:sz w:val="20"/>
          <w:szCs w:val="20"/>
        </w:rPr>
      </w:pPr>
      <w:r w:rsidRPr="006B7572">
        <w:rPr>
          <w:rFonts w:ascii="Arial" w:hAnsi="Arial" w:cs="Arial"/>
          <w:sz w:val="20"/>
          <w:szCs w:val="20"/>
        </w:rPr>
        <w:t>[</w:t>
      </w:r>
      <w:r w:rsidR="00215CCE" w:rsidRPr="006B7572">
        <w:rPr>
          <w:rFonts w:ascii="Arial" w:hAnsi="Arial" w:cs="Arial"/>
          <w:i/>
          <w:sz w:val="20"/>
          <w:szCs w:val="20"/>
        </w:rPr>
        <w:t>Applicant response</w:t>
      </w:r>
      <w:r w:rsidRPr="006B7572">
        <w:rPr>
          <w:rFonts w:ascii="Arial" w:hAnsi="Arial" w:cs="Arial"/>
          <w:sz w:val="20"/>
          <w:szCs w:val="20"/>
        </w:rPr>
        <w:t>]</w:t>
      </w:r>
      <w:r w:rsidR="00215CCE" w:rsidRPr="006B7572">
        <w:rPr>
          <w:rFonts w:ascii="Arial" w:hAnsi="Arial" w:cs="Arial"/>
          <w:sz w:val="20"/>
          <w:szCs w:val="20"/>
        </w:rPr>
        <w:t>:</w:t>
      </w:r>
    </w:p>
    <w:p w:rsidR="00850028" w:rsidRDefault="00850028" w:rsidP="00850028">
      <w:pPr>
        <w:spacing w:before="240"/>
        <w:rPr>
          <w:rFonts w:ascii="Arial" w:hAnsi="Arial" w:cs="Arial"/>
          <w:sz w:val="20"/>
          <w:szCs w:val="20"/>
        </w:rPr>
      </w:pPr>
      <w:r>
        <w:rPr>
          <w:rFonts w:ascii="Arial" w:hAnsi="Arial" w:cs="Arial"/>
          <w:sz w:val="20"/>
          <w:szCs w:val="20"/>
        </w:rPr>
        <w:t xml:space="preserve">a). </w:t>
      </w:r>
      <w:r>
        <w:rPr>
          <w:rFonts w:ascii="Arial" w:eastAsia="Calibri" w:hAnsi="Arial" w:cs="Arial"/>
          <w:sz w:val="20"/>
          <w:szCs w:val="20"/>
          <w:lang w:val="en-US"/>
        </w:rPr>
        <w:t>C</w:t>
      </w:r>
      <w:r w:rsidRPr="006B7572">
        <w:rPr>
          <w:rFonts w:ascii="Arial" w:eastAsia="Calibri" w:hAnsi="Arial" w:cs="Arial"/>
          <w:sz w:val="20"/>
          <w:szCs w:val="20"/>
          <w:lang w:val="en-US"/>
        </w:rPr>
        <w:t>osts, availability of funds and the funding gap for major program areas</w:t>
      </w:r>
      <w:r>
        <w:rPr>
          <w:rFonts w:ascii="Arial" w:eastAsia="Calibri" w:hAnsi="Arial" w:cs="Arial"/>
          <w:sz w:val="20"/>
          <w:szCs w:val="20"/>
          <w:lang w:val="en-US"/>
        </w:rPr>
        <w:t xml:space="preserve">. </w:t>
      </w:r>
    </w:p>
    <w:p w:rsidR="00850028" w:rsidRDefault="00D31191" w:rsidP="00850028">
      <w:pPr>
        <w:spacing w:before="240"/>
        <w:rPr>
          <w:rFonts w:ascii="Arial" w:hAnsi="Arial" w:cs="Arial"/>
          <w:sz w:val="20"/>
          <w:szCs w:val="20"/>
        </w:rPr>
      </w:pPr>
      <w:r w:rsidRPr="00850028">
        <w:rPr>
          <w:rFonts w:ascii="Arial" w:hAnsi="Arial" w:cs="Arial"/>
          <w:sz w:val="20"/>
          <w:szCs w:val="20"/>
        </w:rPr>
        <w:t xml:space="preserve">b). </w:t>
      </w:r>
      <w:r w:rsidR="00850028">
        <w:rPr>
          <w:rFonts w:ascii="Arial" w:hAnsi="Arial" w:cs="Arial"/>
          <w:sz w:val="20"/>
          <w:szCs w:val="20"/>
        </w:rPr>
        <w:t>As described in section 3.2, a l</w:t>
      </w:r>
      <w:r w:rsidR="00850028" w:rsidRPr="00850028">
        <w:rPr>
          <w:rFonts w:ascii="Arial" w:eastAsia="Times New Roman" w:hAnsi="Arial"/>
          <w:sz w:val="20"/>
          <w:szCs w:val="20"/>
          <w:lang w:eastAsia="en-GB"/>
        </w:rPr>
        <w:t xml:space="preserve">ack of sustained political commitment for malaria elimination and failure of </w:t>
      </w:r>
      <w:r w:rsidR="007D5A44">
        <w:rPr>
          <w:rFonts w:ascii="Arial" w:eastAsia="Times New Roman" w:hAnsi="Arial"/>
          <w:sz w:val="20"/>
          <w:szCs w:val="20"/>
          <w:lang w:eastAsia="en-GB"/>
        </w:rPr>
        <w:t xml:space="preserve">GoB </w:t>
      </w:r>
      <w:r w:rsidR="00850028" w:rsidRPr="00850028">
        <w:rPr>
          <w:rFonts w:ascii="Arial" w:eastAsia="Times New Roman" w:hAnsi="Arial"/>
          <w:sz w:val="20"/>
          <w:szCs w:val="20"/>
          <w:lang w:eastAsia="en-GB"/>
        </w:rPr>
        <w:t xml:space="preserve">to deploy increased domestic and foreign investment for </w:t>
      </w:r>
      <w:r w:rsidR="00D94B25">
        <w:rPr>
          <w:rFonts w:ascii="Arial" w:eastAsia="Times New Roman" w:hAnsi="Arial"/>
          <w:sz w:val="20"/>
          <w:szCs w:val="20"/>
          <w:lang w:eastAsia="en-GB"/>
        </w:rPr>
        <w:t xml:space="preserve">health as a whole, and for </w:t>
      </w:r>
      <w:r w:rsidR="00850028" w:rsidRPr="00850028">
        <w:rPr>
          <w:rFonts w:ascii="Arial" w:eastAsia="Times New Roman" w:hAnsi="Arial"/>
          <w:sz w:val="20"/>
          <w:szCs w:val="20"/>
          <w:lang w:eastAsia="en-GB"/>
        </w:rPr>
        <w:t>malaria control and elimination</w:t>
      </w:r>
      <w:r w:rsidR="00850028">
        <w:rPr>
          <w:rFonts w:ascii="Arial" w:eastAsia="Times New Roman" w:hAnsi="Arial"/>
          <w:sz w:val="20"/>
          <w:szCs w:val="20"/>
          <w:lang w:eastAsia="en-GB"/>
        </w:rPr>
        <w:t xml:space="preserve"> in particular, is a risk</w:t>
      </w:r>
      <w:r w:rsidR="00D94B25">
        <w:rPr>
          <w:rFonts w:ascii="Arial" w:eastAsia="Times New Roman" w:hAnsi="Arial"/>
          <w:sz w:val="20"/>
          <w:szCs w:val="20"/>
          <w:lang w:eastAsia="en-GB"/>
        </w:rPr>
        <w:t xml:space="preserve">. </w:t>
      </w:r>
      <w:r w:rsidR="00D94B25">
        <w:rPr>
          <w:rFonts w:ascii="Arial" w:eastAsia="SimSun" w:hAnsi="Arial"/>
          <w:sz w:val="20"/>
          <w:szCs w:val="20"/>
          <w:lang w:eastAsia="zh-CN"/>
        </w:rPr>
        <w:t>NMEP and its partners BRAC and WHO will develop a</w:t>
      </w:r>
      <w:r w:rsidR="00850028" w:rsidRPr="00850028">
        <w:rPr>
          <w:rFonts w:ascii="Arial" w:eastAsia="SimSun" w:hAnsi="Arial"/>
          <w:sz w:val="20"/>
          <w:szCs w:val="20"/>
          <w:lang w:eastAsia="zh-CN"/>
        </w:rPr>
        <w:t xml:space="preserve"> strong advocacy strategy to </w:t>
      </w:r>
      <w:r w:rsidR="00D94B25">
        <w:rPr>
          <w:rFonts w:ascii="Arial" w:eastAsia="SimSun" w:hAnsi="Arial"/>
          <w:sz w:val="20"/>
          <w:szCs w:val="20"/>
          <w:lang w:eastAsia="zh-CN"/>
        </w:rPr>
        <w:t>ensure</w:t>
      </w:r>
      <w:r w:rsidR="00850028" w:rsidRPr="00850028">
        <w:rPr>
          <w:rFonts w:ascii="Arial" w:eastAsia="SimSun" w:hAnsi="Arial"/>
          <w:sz w:val="20"/>
          <w:szCs w:val="20"/>
          <w:lang w:eastAsia="zh-CN"/>
        </w:rPr>
        <w:t xml:space="preserve"> political commitment at all levels.</w:t>
      </w:r>
    </w:p>
    <w:p w:rsidR="007D5A44" w:rsidRPr="004040A5" w:rsidRDefault="00D94B25" w:rsidP="00553C44">
      <w:pPr>
        <w:rPr>
          <w:rFonts w:ascii="Arial" w:hAnsi="Arial" w:cs="Lucida Grande"/>
          <w:sz w:val="20"/>
          <w:szCs w:val="20"/>
        </w:rPr>
      </w:pPr>
      <w:r>
        <w:rPr>
          <w:rFonts w:ascii="Arial" w:hAnsi="Arial" w:cs="Lucida Grande"/>
          <w:sz w:val="20"/>
          <w:szCs w:val="20"/>
        </w:rPr>
        <w:t xml:space="preserve">The programme is also working hard to maximise the cost-effectiveness of all its activities in an effort to improve sustainability. For example, the current NSPME 2017-21 has </w:t>
      </w:r>
      <w:r w:rsidR="00D31191" w:rsidRPr="0090042B">
        <w:rPr>
          <w:rFonts w:ascii="Arial" w:hAnsi="Arial" w:cs="Lucida Grande"/>
          <w:sz w:val="20"/>
          <w:szCs w:val="20"/>
        </w:rPr>
        <w:t>move</w:t>
      </w:r>
      <w:r>
        <w:rPr>
          <w:rFonts w:ascii="Arial" w:hAnsi="Arial" w:cs="Lucida Grande"/>
          <w:sz w:val="20"/>
          <w:szCs w:val="20"/>
        </w:rPr>
        <w:t>d</w:t>
      </w:r>
      <w:r w:rsidR="00D31191" w:rsidRPr="0090042B">
        <w:rPr>
          <w:rFonts w:ascii="Arial" w:hAnsi="Arial" w:cs="Lucida Grande"/>
          <w:sz w:val="20"/>
          <w:szCs w:val="20"/>
        </w:rPr>
        <w:t xml:space="preserve"> away from </w:t>
      </w:r>
      <w:r w:rsidR="00553C44" w:rsidRPr="0090042B">
        <w:rPr>
          <w:rFonts w:ascii="Arial" w:hAnsi="Arial" w:cs="Lucida Grande"/>
          <w:sz w:val="20"/>
          <w:szCs w:val="20"/>
        </w:rPr>
        <w:t xml:space="preserve">blanket coverage </w:t>
      </w:r>
      <w:r w:rsidR="00553C44">
        <w:rPr>
          <w:rFonts w:ascii="Arial" w:hAnsi="Arial" w:cs="Lucida Grande"/>
          <w:sz w:val="20"/>
          <w:szCs w:val="20"/>
        </w:rPr>
        <w:t xml:space="preserve">with </w:t>
      </w:r>
      <w:r w:rsidR="00553C44" w:rsidRPr="0090042B">
        <w:rPr>
          <w:rFonts w:ascii="Arial" w:hAnsi="Arial" w:cs="Lucida Grande"/>
          <w:sz w:val="20"/>
          <w:szCs w:val="20"/>
        </w:rPr>
        <w:t xml:space="preserve">LLIN </w:t>
      </w:r>
      <w:r w:rsidR="00553C44">
        <w:rPr>
          <w:rFonts w:ascii="Arial" w:hAnsi="Arial" w:cs="Lucida Grande"/>
          <w:sz w:val="20"/>
          <w:szCs w:val="20"/>
        </w:rPr>
        <w:t xml:space="preserve">based on a district level stratification </w:t>
      </w:r>
      <w:r>
        <w:rPr>
          <w:rFonts w:ascii="Arial" w:hAnsi="Arial" w:cs="Lucida Grande"/>
          <w:sz w:val="20"/>
          <w:szCs w:val="20"/>
        </w:rPr>
        <w:t>irrespective of receptivity</w:t>
      </w:r>
      <w:r w:rsidR="00553C44">
        <w:rPr>
          <w:rFonts w:ascii="Arial" w:hAnsi="Arial" w:cs="Lucida Grande"/>
          <w:sz w:val="20"/>
          <w:szCs w:val="20"/>
        </w:rPr>
        <w:t xml:space="preserve">. </w:t>
      </w:r>
      <w:r w:rsidR="00553C44" w:rsidRPr="00553C44">
        <w:rPr>
          <w:rFonts w:ascii="Arial" w:hAnsi="Arial" w:cs="Lucida Grande"/>
          <w:sz w:val="20"/>
          <w:szCs w:val="20"/>
        </w:rPr>
        <w:t xml:space="preserve">Urban areas will be excluded except where forest cover is high. In case funding is limited, target areas will be divided into ‘absolute’, ‘high’, ‘medium’ and ‘low’ priority based on the stratification </w:t>
      </w:r>
      <w:r w:rsidR="00553C44">
        <w:rPr>
          <w:rFonts w:ascii="Arial" w:hAnsi="Arial" w:cs="Lucida Grande"/>
          <w:sz w:val="20"/>
          <w:szCs w:val="20"/>
        </w:rPr>
        <w:t>described in the</w:t>
      </w:r>
      <w:r w:rsidR="00553C44" w:rsidRPr="00553C44">
        <w:rPr>
          <w:rFonts w:ascii="Arial" w:hAnsi="Arial" w:cs="Lucida Grande"/>
          <w:sz w:val="20"/>
          <w:szCs w:val="20"/>
        </w:rPr>
        <w:t xml:space="preserve"> NSP</w:t>
      </w:r>
      <w:r w:rsidR="00553C44">
        <w:rPr>
          <w:rFonts w:ascii="Arial" w:hAnsi="Arial" w:cs="Lucida Grande"/>
          <w:sz w:val="20"/>
          <w:szCs w:val="20"/>
        </w:rPr>
        <w:t xml:space="preserve">ME (page 21, annex </w:t>
      </w:r>
      <w:r w:rsidR="00553C44" w:rsidRPr="00553C44">
        <w:rPr>
          <w:rFonts w:ascii="Arial" w:hAnsi="Arial" w:cs="Lucida Grande"/>
          <w:sz w:val="20"/>
          <w:szCs w:val="20"/>
          <w:highlight w:val="yellow"/>
        </w:rPr>
        <w:t>X</w:t>
      </w:r>
      <w:r w:rsidR="00553C44">
        <w:rPr>
          <w:rFonts w:ascii="Arial" w:hAnsi="Arial" w:cs="Lucida Grande"/>
          <w:sz w:val="20"/>
          <w:szCs w:val="20"/>
        </w:rPr>
        <w:t>)</w:t>
      </w:r>
      <w:r w:rsidR="00553C44" w:rsidRPr="00553C44">
        <w:rPr>
          <w:rFonts w:ascii="Arial" w:hAnsi="Arial" w:cs="Lucida Grande"/>
          <w:sz w:val="20"/>
          <w:szCs w:val="20"/>
        </w:rPr>
        <w:t xml:space="preserve">. As the quality of surveillance improves, the stratification will evolve to distinguish between indigenous and imported cases and thereby between endemic villages and villages where all cases are imported. Endemic villages will continue to receive periodic mass distributions, but in villages where all cases are </w:t>
      </w:r>
      <w:r w:rsidR="00553C44" w:rsidRPr="004040A5">
        <w:rPr>
          <w:rFonts w:ascii="Arial" w:hAnsi="Arial" w:cs="Lucida Grande"/>
          <w:sz w:val="20"/>
          <w:szCs w:val="20"/>
        </w:rPr>
        <w:t xml:space="preserve">imported, </w:t>
      </w:r>
      <w:r w:rsidR="007D5A44" w:rsidRPr="004040A5">
        <w:rPr>
          <w:rFonts w:ascii="Arial" w:hAnsi="Arial" w:cs="Lucida Grande"/>
          <w:sz w:val="20"/>
          <w:szCs w:val="20"/>
        </w:rPr>
        <w:t xml:space="preserve">unless receptivity is considered to be high, </w:t>
      </w:r>
      <w:r w:rsidR="00553C44" w:rsidRPr="004040A5">
        <w:rPr>
          <w:rFonts w:ascii="Arial" w:hAnsi="Arial" w:cs="Lucida Grande"/>
          <w:sz w:val="20"/>
          <w:szCs w:val="20"/>
        </w:rPr>
        <w:t>LLINs will be provided only to</w:t>
      </w:r>
      <w:r w:rsidR="007D5A44" w:rsidRPr="004040A5">
        <w:rPr>
          <w:rFonts w:ascii="Arial" w:hAnsi="Arial" w:cs="Lucida Grande"/>
          <w:sz w:val="20"/>
          <w:szCs w:val="20"/>
        </w:rPr>
        <w:t xml:space="preserve"> ensure utilization by</w:t>
      </w:r>
      <w:r w:rsidR="00553C44" w:rsidRPr="004040A5">
        <w:rPr>
          <w:rFonts w:ascii="Arial" w:hAnsi="Arial" w:cs="Lucida Grande"/>
          <w:sz w:val="20"/>
          <w:szCs w:val="20"/>
        </w:rPr>
        <w:t xml:space="preserve"> forest goers. </w:t>
      </w:r>
    </w:p>
    <w:p w:rsidR="00553C44" w:rsidRPr="00553C44" w:rsidRDefault="00C339E0" w:rsidP="00553C44">
      <w:pPr>
        <w:rPr>
          <w:rFonts w:ascii="Arial" w:hAnsi="Arial" w:cs="Lucida Grande"/>
          <w:sz w:val="20"/>
          <w:szCs w:val="20"/>
        </w:rPr>
      </w:pPr>
      <w:r w:rsidRPr="004040A5">
        <w:rPr>
          <w:rFonts w:ascii="Arial" w:hAnsi="Arial" w:cs="Lucida Grande"/>
          <w:sz w:val="20"/>
          <w:szCs w:val="20"/>
        </w:rPr>
        <w:t>The a</w:t>
      </w:r>
      <w:r w:rsidR="007D5A44" w:rsidRPr="004040A5">
        <w:rPr>
          <w:rFonts w:ascii="Arial" w:hAnsi="Arial" w:cs="Lucida Grande"/>
          <w:sz w:val="20"/>
          <w:szCs w:val="20"/>
        </w:rPr>
        <w:t>chievement of the NMEPs e</w:t>
      </w:r>
      <w:r w:rsidR="00553C44" w:rsidRPr="004040A5">
        <w:rPr>
          <w:rFonts w:ascii="Arial" w:hAnsi="Arial" w:cs="Lucida Grande"/>
          <w:sz w:val="20"/>
          <w:szCs w:val="20"/>
        </w:rPr>
        <w:t xml:space="preserve">limination </w:t>
      </w:r>
      <w:r w:rsidR="007D5A44" w:rsidRPr="004040A5">
        <w:rPr>
          <w:rFonts w:ascii="Arial" w:hAnsi="Arial" w:cs="Lucida Grande"/>
          <w:sz w:val="20"/>
          <w:szCs w:val="20"/>
        </w:rPr>
        <w:t xml:space="preserve">goal will contribute towards </w:t>
      </w:r>
      <w:r w:rsidRPr="004040A5">
        <w:rPr>
          <w:rFonts w:ascii="Arial" w:hAnsi="Arial" w:cs="Lucida Grande"/>
          <w:sz w:val="20"/>
          <w:szCs w:val="20"/>
        </w:rPr>
        <w:t xml:space="preserve">the achievement of </w:t>
      </w:r>
      <w:r w:rsidR="007D5A44" w:rsidRPr="004040A5">
        <w:rPr>
          <w:rFonts w:ascii="Arial" w:hAnsi="Arial" w:cs="Lucida Grande"/>
          <w:sz w:val="20"/>
          <w:szCs w:val="20"/>
        </w:rPr>
        <w:t xml:space="preserve">regional elimination </w:t>
      </w:r>
      <w:r w:rsidRPr="004040A5">
        <w:rPr>
          <w:rFonts w:ascii="Arial" w:hAnsi="Arial" w:cs="Lucida Grande"/>
          <w:sz w:val="20"/>
          <w:szCs w:val="20"/>
        </w:rPr>
        <w:t>goals</w:t>
      </w:r>
      <w:r w:rsidR="007D5A44" w:rsidRPr="004040A5">
        <w:rPr>
          <w:rFonts w:ascii="Arial" w:hAnsi="Arial" w:cs="Lucida Grande"/>
          <w:sz w:val="20"/>
          <w:szCs w:val="20"/>
        </w:rPr>
        <w:t xml:space="preserve"> and ultimately to</w:t>
      </w:r>
      <w:r w:rsidRPr="004040A5">
        <w:rPr>
          <w:rFonts w:ascii="Arial" w:hAnsi="Arial" w:cs="Lucida Grande"/>
          <w:sz w:val="20"/>
          <w:szCs w:val="20"/>
        </w:rPr>
        <w:t>wards</w:t>
      </w:r>
      <w:r w:rsidR="007D5A44" w:rsidRPr="004040A5">
        <w:rPr>
          <w:rFonts w:ascii="Arial" w:hAnsi="Arial" w:cs="Lucida Grande"/>
          <w:sz w:val="20"/>
          <w:szCs w:val="20"/>
        </w:rPr>
        <w:t xml:space="preserve"> global </w:t>
      </w:r>
      <w:r w:rsidRPr="004040A5">
        <w:rPr>
          <w:rFonts w:ascii="Arial" w:hAnsi="Arial" w:cs="Lucida Grande"/>
          <w:sz w:val="20"/>
          <w:szCs w:val="20"/>
        </w:rPr>
        <w:t>eradication</w:t>
      </w:r>
      <w:r w:rsidR="007D5A44" w:rsidRPr="004040A5">
        <w:rPr>
          <w:rFonts w:ascii="Arial" w:hAnsi="Arial" w:cs="Lucida Grande"/>
          <w:sz w:val="20"/>
          <w:szCs w:val="20"/>
        </w:rPr>
        <w:t xml:space="preserve">, which </w:t>
      </w:r>
      <w:r w:rsidRPr="004040A5">
        <w:rPr>
          <w:rFonts w:ascii="Arial" w:hAnsi="Arial" w:cs="Lucida Grande"/>
          <w:sz w:val="20"/>
          <w:szCs w:val="20"/>
        </w:rPr>
        <w:t>will provide</w:t>
      </w:r>
      <w:r w:rsidR="007D5A44" w:rsidRPr="004040A5">
        <w:rPr>
          <w:rFonts w:ascii="Arial" w:hAnsi="Arial" w:cs="Lucida Grande"/>
          <w:sz w:val="20"/>
          <w:szCs w:val="20"/>
        </w:rPr>
        <w:t xml:space="preserve"> the ultimate in sustainability.</w:t>
      </w:r>
    </w:p>
    <w:p w:rsidR="00FE411C" w:rsidRPr="006B7572" w:rsidRDefault="00FE411C">
      <w:pPr>
        <w:rPr>
          <w:rFonts w:ascii="Arial" w:hAnsi="Arial" w:cs="Arial"/>
          <w:sz w:val="20"/>
          <w:szCs w:val="20"/>
        </w:rPr>
      </w:pPr>
      <w:r w:rsidRPr="006B7572">
        <w:rPr>
          <w:rFonts w:ascii="Arial" w:hAnsi="Arial" w:cs="Arial"/>
          <w:sz w:val="20"/>
          <w:szCs w:val="20"/>
        </w:rPr>
        <w:br w:type="page"/>
      </w:r>
    </w:p>
    <w:p w:rsidR="00F76AD3" w:rsidRPr="006B7572" w:rsidRDefault="00F76AD3" w:rsidP="00042DCA">
      <w:pPr>
        <w:spacing w:before="240"/>
        <w:rPr>
          <w:rFonts w:ascii="Arial" w:hAnsi="Arial" w:cs="Arial"/>
          <w:sz w:val="20"/>
          <w:szCs w:val="20"/>
        </w:rPr>
        <w:sectPr w:rsidR="00F76AD3" w:rsidRPr="006B7572">
          <w:headerReference w:type="default" r:id="rId17"/>
          <w:footerReference w:type="even" r:id="rId18"/>
          <w:footerReference w:type="default" r:id="rId19"/>
          <w:pgSz w:w="11906" w:h="16838"/>
          <w:pgMar w:top="1440" w:right="1440" w:bottom="1440" w:left="1440" w:header="708" w:footer="708" w:gutter="0"/>
          <w:cols w:space="708"/>
          <w:docGrid w:linePitch="360"/>
        </w:sectPr>
      </w:pPr>
    </w:p>
    <w:p w:rsidR="00F76AD3" w:rsidRPr="006B7572" w:rsidRDefault="00F76AD3" w:rsidP="00F76AD3">
      <w:pPr>
        <w:spacing w:before="240"/>
        <w:rPr>
          <w:rFonts w:ascii="Arial" w:hAnsi="Arial" w:cs="Arial"/>
          <w:sz w:val="20"/>
          <w:szCs w:val="20"/>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455"/>
        <w:gridCol w:w="3084"/>
        <w:gridCol w:w="2410"/>
        <w:gridCol w:w="7938"/>
      </w:tblGrid>
      <w:tr w:rsidR="00F76AD3" w:rsidRPr="006B7572" w:rsidTr="00B555E1">
        <w:trPr>
          <w:trHeight w:val="430"/>
        </w:trPr>
        <w:tc>
          <w:tcPr>
            <w:tcW w:w="13887" w:type="dxa"/>
            <w:gridSpan w:val="4"/>
            <w:shd w:val="clear" w:color="auto" w:fill="1F497D"/>
            <w:vAlign w:val="center"/>
          </w:tcPr>
          <w:p w:rsidR="00F76AD3" w:rsidRPr="006B7572" w:rsidRDefault="00F76AD3" w:rsidP="008709A5">
            <w:pPr>
              <w:rPr>
                <w:rFonts w:ascii="Arial" w:hAnsi="Arial"/>
                <w:color w:val="AEAAAA" w:themeColor="background2" w:themeShade="BF"/>
                <w:lang w:val="en-US"/>
              </w:rPr>
            </w:pPr>
            <w:r w:rsidRPr="006B7572">
              <w:rPr>
                <w:rFonts w:ascii="Arial" w:hAnsi="Arial"/>
                <w:b/>
                <w:color w:val="FFFFFF"/>
                <w:lang w:val="en-US"/>
              </w:rPr>
              <w:t>SECTION 5.1: PRIORI</w:t>
            </w:r>
            <w:r w:rsidR="008709A5" w:rsidRPr="006B7572">
              <w:rPr>
                <w:rFonts w:ascii="Arial" w:hAnsi="Arial"/>
                <w:b/>
                <w:color w:val="FFFFFF"/>
                <w:lang w:val="en-US"/>
              </w:rPr>
              <w:t>TIZED ABOVE ALLOCATION REQUEST</w:t>
            </w:r>
          </w:p>
        </w:tc>
      </w:tr>
      <w:tr w:rsidR="00F76AD3" w:rsidRPr="006B7572" w:rsidTr="00B555E1">
        <w:trPr>
          <w:trHeight w:val="600"/>
        </w:trPr>
        <w:tc>
          <w:tcPr>
            <w:tcW w:w="13887" w:type="dxa"/>
            <w:gridSpan w:val="4"/>
            <w:shd w:val="clear" w:color="auto" w:fill="C6D9F1"/>
            <w:vAlign w:val="center"/>
          </w:tcPr>
          <w:p w:rsidR="00F76AD3" w:rsidRPr="006B7572" w:rsidRDefault="00F76AD3" w:rsidP="00F76AD3">
            <w:pPr>
              <w:jc w:val="both"/>
              <w:rPr>
                <w:rFonts w:ascii="Arial" w:hAnsi="Arial"/>
                <w:lang w:val="en-US"/>
              </w:rPr>
            </w:pPr>
            <w:r w:rsidRPr="006B7572">
              <w:rPr>
                <w:rFonts w:ascii="Arial" w:hAnsi="Arial"/>
                <w:lang w:val="en-US"/>
              </w:rPr>
              <w:t xml:space="preserve">All applicants are requested to detail a prioritized above allocation request. </w:t>
            </w:r>
            <w:r w:rsidRPr="006B7572">
              <w:rPr>
                <w:rFonts w:ascii="Arial" w:hAnsi="Arial"/>
                <w:bCs/>
                <w:iCs/>
                <w:lang w:val="en-US"/>
              </w:rPr>
              <w:t xml:space="preserve">To respond, refer to guidance in the </w:t>
            </w:r>
            <w:r w:rsidRPr="006B7572">
              <w:rPr>
                <w:rFonts w:ascii="Arial" w:hAnsi="Arial"/>
                <w:bCs/>
                <w:i/>
                <w:iCs/>
              </w:rPr>
              <w:t>Instructions</w:t>
            </w:r>
            <w:r w:rsidR="00494971" w:rsidRPr="006B7572">
              <w:rPr>
                <w:rFonts w:ascii="Arial" w:hAnsi="Arial"/>
                <w:lang w:val="en-US"/>
              </w:rPr>
              <w:t xml:space="preserve">and fill </w:t>
            </w:r>
            <w:r w:rsidR="00494971">
              <w:rPr>
                <w:rFonts w:ascii="Arial" w:hAnsi="Arial"/>
                <w:lang w:val="en-US"/>
              </w:rPr>
              <w:t xml:space="preserve">in </w:t>
            </w:r>
            <w:r w:rsidR="00494971" w:rsidRPr="006B7572">
              <w:rPr>
                <w:rFonts w:ascii="Arial" w:hAnsi="Arial"/>
                <w:lang w:val="en-US"/>
              </w:rPr>
              <w:t>the table</w:t>
            </w:r>
            <w:r w:rsidR="00494971">
              <w:rPr>
                <w:rFonts w:ascii="Arial" w:hAnsi="Arial"/>
                <w:lang w:val="en-US"/>
              </w:rPr>
              <w:t xml:space="preserve"> below</w:t>
            </w:r>
            <w:r w:rsidR="00485F5B">
              <w:rPr>
                <w:rFonts w:ascii="Arial" w:hAnsi="Arial"/>
                <w:bCs/>
                <w:i/>
                <w:iCs/>
              </w:rPr>
              <w:t>.</w:t>
            </w:r>
          </w:p>
        </w:tc>
      </w:tr>
      <w:tr w:rsidR="00F76AD3" w:rsidRPr="006B7572" w:rsidTr="00931061">
        <w:trPr>
          <w:trHeight w:val="1347"/>
        </w:trPr>
        <w:tc>
          <w:tcPr>
            <w:tcW w:w="13887" w:type="dxa"/>
            <w:gridSpan w:val="4"/>
            <w:shd w:val="clear" w:color="auto" w:fill="F2F2F2"/>
          </w:tcPr>
          <w:p w:rsidR="00F76AD3" w:rsidRPr="006B7572" w:rsidRDefault="00F76AD3" w:rsidP="00F76AD3">
            <w:pPr>
              <w:keepNext/>
              <w:keepLines/>
              <w:spacing w:before="120" w:after="120"/>
              <w:jc w:val="both"/>
              <w:rPr>
                <w:rFonts w:ascii="Arial" w:hAnsi="Arial"/>
                <w:lang w:val="en-US"/>
              </w:rPr>
            </w:pPr>
            <w:r w:rsidRPr="006B7572">
              <w:rPr>
                <w:rFonts w:ascii="Arial" w:hAnsi="Arial"/>
              </w:rPr>
              <w:t xml:space="preserve">Provide in the </w:t>
            </w:r>
            <w:r w:rsidRPr="006B7572">
              <w:rPr>
                <w:rFonts w:ascii="Arial" w:hAnsi="Arial"/>
                <w:lang w:val="en-US"/>
              </w:rPr>
              <w:t xml:space="preserve">table below a prioritized above allocation request which, following the TRP review, could be funded using savings or efficiencies identified during grant-making or put on the register of UQD to be financed should additional resources become available. The above allocation request should include clear rationale and should be aligned with programming of the allocation for maximum impact. In line with the Global Fund’s Strategy to maximize impact and end the epidemics, the prioritized above allocation request should be ambitious (for example, representing </w:t>
            </w:r>
            <w:r w:rsidR="008709A5" w:rsidRPr="006B7572">
              <w:rPr>
                <w:rFonts w:ascii="Arial" w:hAnsi="Arial"/>
                <w:lang w:val="en-US"/>
              </w:rPr>
              <w:t xml:space="preserve">at least </w:t>
            </w:r>
            <w:r w:rsidRPr="006B7572">
              <w:rPr>
                <w:rFonts w:ascii="Arial" w:hAnsi="Arial"/>
                <w:lang w:val="en-US"/>
              </w:rPr>
              <w:t xml:space="preserve">30-50 percent of the within allocation amount). </w:t>
            </w:r>
          </w:p>
          <w:p w:rsidR="006448A4" w:rsidRPr="006B7572" w:rsidRDefault="006448A4" w:rsidP="00FE411C">
            <w:pPr>
              <w:keepNext/>
              <w:keepLines/>
              <w:spacing w:before="120" w:after="120"/>
              <w:jc w:val="both"/>
              <w:rPr>
                <w:rFonts w:ascii="Arial" w:hAnsi="Arial"/>
                <w:lang w:val="en-US"/>
              </w:rPr>
            </w:pPr>
            <w:r w:rsidRPr="006B7572">
              <w:rPr>
                <w:rFonts w:ascii="Arial" w:hAnsi="Arial"/>
              </w:rPr>
              <w:t>Applicant response in the table below</w:t>
            </w:r>
            <w:r w:rsidR="00FE411C" w:rsidRPr="006B7572">
              <w:rPr>
                <w:rFonts w:ascii="Arial" w:hAnsi="Arial"/>
              </w:rPr>
              <w:t>.</w:t>
            </w:r>
          </w:p>
        </w:tc>
      </w:tr>
      <w:tr w:rsidR="00F76AD3" w:rsidRPr="006B7572" w:rsidTr="006448A4">
        <w:trPr>
          <w:trHeight w:val="402"/>
        </w:trPr>
        <w:tc>
          <w:tcPr>
            <w:tcW w:w="13887" w:type="dxa"/>
            <w:gridSpan w:val="4"/>
            <w:shd w:val="clear" w:color="auto" w:fill="C6D9F1"/>
            <w:vAlign w:val="center"/>
          </w:tcPr>
          <w:p w:rsidR="00F76AD3" w:rsidRPr="004040A5" w:rsidRDefault="006D018B" w:rsidP="004040A5">
            <w:pPr>
              <w:rPr>
                <w:rFonts w:ascii="Arial" w:hAnsi="Arial"/>
                <w:b/>
                <w:bCs/>
                <w:color w:val="FF0000"/>
                <w:lang w:val="en-US"/>
              </w:rPr>
            </w:pPr>
            <w:r w:rsidRPr="004C0526">
              <w:rPr>
                <w:rFonts w:ascii="Arial" w:hAnsi="Arial"/>
                <w:b/>
                <w:color w:val="FF0000"/>
                <w:lang w:val="en-US"/>
              </w:rPr>
              <w:t>N.B.</w:t>
            </w:r>
            <w:r w:rsidR="00C64C48" w:rsidRPr="004040A5">
              <w:rPr>
                <w:rFonts w:ascii="Arial" w:hAnsi="Arial"/>
                <w:color w:val="FF0000"/>
                <w:lang w:val="en-US"/>
              </w:rPr>
              <w:t>Please refer to the NSP for rationale using the activity and sub-activity numbers [provided below in square brackets] for reference.</w:t>
            </w:r>
            <w:r w:rsidR="00C64C48">
              <w:rPr>
                <w:rFonts w:ascii="Arial" w:hAnsi="Arial"/>
                <w:color w:val="FF0000"/>
                <w:lang w:val="en-US"/>
              </w:rPr>
              <w:t xml:space="preserve"> All of the activities presented below are considered a high priority unless specified otherwise</w:t>
            </w:r>
            <w:r w:rsidR="00DB5CCC">
              <w:rPr>
                <w:rFonts w:ascii="Arial" w:hAnsi="Arial"/>
                <w:color w:val="FF0000"/>
                <w:lang w:val="en-US"/>
              </w:rPr>
              <w:t>.</w:t>
            </w:r>
            <w:r w:rsidR="0028304C">
              <w:rPr>
                <w:rFonts w:ascii="Arial" w:hAnsi="Arial"/>
                <w:color w:val="FF0000"/>
                <w:lang w:val="en-US"/>
              </w:rPr>
              <w:t xml:space="preserve"> Please refer to section 2.1 of this funding request for an overview of the prioritization process. Please refer to the detailed budget worksheet in the budget workbook for the complete prioritization by activity and sub-activity.</w:t>
            </w:r>
          </w:p>
        </w:tc>
      </w:tr>
      <w:tr w:rsidR="00F76AD3" w:rsidRPr="006B7572" w:rsidTr="006448A4">
        <w:trPr>
          <w:trHeight w:val="552"/>
        </w:trPr>
        <w:tc>
          <w:tcPr>
            <w:tcW w:w="455" w:type="dxa"/>
            <w:shd w:val="clear" w:color="auto" w:fill="C6D9F1"/>
            <w:vAlign w:val="center"/>
          </w:tcPr>
          <w:p w:rsidR="00F76AD3" w:rsidRPr="006B7572" w:rsidRDefault="00F76AD3" w:rsidP="00F76AD3">
            <w:pPr>
              <w:jc w:val="center"/>
              <w:rPr>
                <w:rFonts w:ascii="Arial" w:hAnsi="Arial"/>
                <w:color w:val="AEAAAA" w:themeColor="background2" w:themeShade="BF"/>
                <w:lang w:val="en-US"/>
              </w:rPr>
            </w:pPr>
          </w:p>
        </w:tc>
        <w:tc>
          <w:tcPr>
            <w:tcW w:w="3084" w:type="dxa"/>
            <w:shd w:val="clear" w:color="auto" w:fill="C6D9F1"/>
            <w:vAlign w:val="center"/>
          </w:tcPr>
          <w:p w:rsidR="00F76AD3" w:rsidRPr="006B7572" w:rsidRDefault="00F76AD3" w:rsidP="00F76AD3">
            <w:pPr>
              <w:jc w:val="center"/>
              <w:rPr>
                <w:rFonts w:ascii="Arial" w:hAnsi="Arial"/>
                <w:color w:val="AEAAAA" w:themeColor="background2" w:themeShade="BF"/>
                <w:lang w:val="en-US"/>
              </w:rPr>
            </w:pPr>
            <w:r w:rsidRPr="006B7572">
              <w:rPr>
                <w:rFonts w:ascii="Arial" w:hAnsi="Arial"/>
                <w:b/>
                <w:bCs/>
                <w:lang w:val="en-US"/>
              </w:rPr>
              <w:t>Module</w:t>
            </w:r>
          </w:p>
        </w:tc>
        <w:tc>
          <w:tcPr>
            <w:tcW w:w="2410" w:type="dxa"/>
            <w:shd w:val="clear" w:color="auto" w:fill="C6D9F1"/>
            <w:vAlign w:val="center"/>
          </w:tcPr>
          <w:p w:rsidR="00F76AD3" w:rsidRPr="006B7572" w:rsidRDefault="00F76AD3" w:rsidP="00F76AD3">
            <w:pPr>
              <w:jc w:val="center"/>
              <w:rPr>
                <w:rFonts w:ascii="Arial" w:hAnsi="Arial"/>
                <w:b/>
                <w:bCs/>
                <w:lang w:val="en-US"/>
              </w:rPr>
            </w:pPr>
            <w:r w:rsidRPr="006B7572">
              <w:rPr>
                <w:rFonts w:ascii="Arial" w:hAnsi="Arial"/>
                <w:b/>
                <w:bCs/>
                <w:lang w:val="en-US"/>
              </w:rPr>
              <w:t>Amount requested</w:t>
            </w:r>
          </w:p>
          <w:p w:rsidR="00F76AD3" w:rsidRPr="006B7572" w:rsidRDefault="00F76AD3" w:rsidP="004040A5">
            <w:pPr>
              <w:jc w:val="center"/>
              <w:rPr>
                <w:rFonts w:ascii="Arial" w:hAnsi="Arial"/>
                <w:color w:val="AEAAAA" w:themeColor="background2" w:themeShade="BF"/>
                <w:lang w:val="en-US"/>
              </w:rPr>
            </w:pPr>
            <w:r w:rsidRPr="006B7572">
              <w:rPr>
                <w:rFonts w:ascii="Arial" w:hAnsi="Arial"/>
                <w:bCs/>
                <w:lang w:val="en-US"/>
              </w:rPr>
              <w:t>[</w:t>
            </w:r>
            <w:r w:rsidRPr="006B7572">
              <w:rPr>
                <w:rFonts w:ascii="Arial" w:hAnsi="Arial"/>
                <w:bCs/>
                <w:i/>
                <w:lang w:val="en-US"/>
              </w:rPr>
              <w:t>Specify US$</w:t>
            </w:r>
            <w:r w:rsidRPr="006B7572">
              <w:rPr>
                <w:rFonts w:ascii="Arial" w:hAnsi="Arial"/>
                <w:bCs/>
                <w:lang w:val="en-US"/>
              </w:rPr>
              <w:t>]</w:t>
            </w:r>
          </w:p>
        </w:tc>
        <w:tc>
          <w:tcPr>
            <w:tcW w:w="7938" w:type="dxa"/>
            <w:shd w:val="clear" w:color="auto" w:fill="C6D9F1"/>
            <w:vAlign w:val="center"/>
          </w:tcPr>
          <w:p w:rsidR="00F76AD3" w:rsidRPr="006B7572" w:rsidRDefault="00F76AD3" w:rsidP="00F76AD3">
            <w:pPr>
              <w:keepNext/>
              <w:keepLines/>
              <w:jc w:val="center"/>
              <w:rPr>
                <w:rFonts w:ascii="Arial" w:hAnsi="Arial"/>
                <w:b/>
                <w:bCs/>
                <w:lang w:val="en-US"/>
              </w:rPr>
            </w:pPr>
            <w:r w:rsidRPr="006B7572">
              <w:rPr>
                <w:rFonts w:ascii="Arial" w:hAnsi="Arial"/>
                <w:b/>
                <w:bCs/>
                <w:lang w:val="en-US"/>
              </w:rPr>
              <w:t>Brief Rationale, including expected outcomes and impact</w:t>
            </w:r>
          </w:p>
          <w:p w:rsidR="00F76AD3" w:rsidRPr="006B7572" w:rsidRDefault="00F76AD3" w:rsidP="00F76AD3">
            <w:pPr>
              <w:jc w:val="center"/>
              <w:rPr>
                <w:rFonts w:ascii="Arial" w:hAnsi="Arial"/>
                <w:color w:val="AEAAAA" w:themeColor="background2" w:themeShade="BF"/>
                <w:lang w:val="en-US"/>
              </w:rPr>
            </w:pPr>
            <w:r w:rsidRPr="006B7572">
              <w:rPr>
                <w:rFonts w:ascii="Arial" w:hAnsi="Arial"/>
                <w:bCs/>
                <w:lang w:val="en-US"/>
              </w:rPr>
              <w:t>(how the above allocation request builds on the allocation)</w:t>
            </w:r>
          </w:p>
        </w:tc>
      </w:tr>
      <w:tr w:rsidR="00F76AD3" w:rsidRPr="006B7572" w:rsidTr="006448A4">
        <w:trPr>
          <w:trHeight w:val="400"/>
        </w:trPr>
        <w:tc>
          <w:tcPr>
            <w:tcW w:w="455" w:type="dxa"/>
            <w:vAlign w:val="center"/>
          </w:tcPr>
          <w:p w:rsidR="00F76AD3" w:rsidRPr="006B7572" w:rsidRDefault="00F76AD3" w:rsidP="00F76AD3">
            <w:pPr>
              <w:rPr>
                <w:rFonts w:ascii="Arial" w:hAnsi="Arial"/>
                <w:lang w:val="en-US"/>
              </w:rPr>
            </w:pPr>
            <w:r w:rsidRPr="006B7572">
              <w:rPr>
                <w:rFonts w:ascii="Arial" w:hAnsi="Arial"/>
                <w:lang w:val="en-US"/>
              </w:rPr>
              <w:t>1</w:t>
            </w:r>
          </w:p>
        </w:tc>
        <w:tc>
          <w:tcPr>
            <w:tcW w:w="3084" w:type="dxa"/>
            <w:vAlign w:val="center"/>
          </w:tcPr>
          <w:p w:rsidR="00F76AD3" w:rsidRPr="004040A5" w:rsidRDefault="00A94DDE" w:rsidP="00F76AD3">
            <w:pPr>
              <w:rPr>
                <w:rFonts w:ascii="Arial" w:hAnsi="Arial" w:cs="Arial"/>
                <w:sz w:val="20"/>
                <w:szCs w:val="20"/>
                <w:lang w:val="en-US"/>
              </w:rPr>
            </w:pPr>
            <w:r w:rsidRPr="004040A5">
              <w:rPr>
                <w:rFonts w:ascii="Arial" w:hAnsi="Arial" w:cs="Arial"/>
                <w:sz w:val="20"/>
                <w:szCs w:val="20"/>
                <w:lang w:val="en-US"/>
              </w:rPr>
              <w:t>Case management</w:t>
            </w:r>
          </w:p>
        </w:tc>
        <w:tc>
          <w:tcPr>
            <w:tcW w:w="2410" w:type="dxa"/>
            <w:vAlign w:val="center"/>
          </w:tcPr>
          <w:p w:rsidR="00F76AD3" w:rsidRPr="006B7572" w:rsidRDefault="00F76AD3" w:rsidP="00F76AD3">
            <w:pPr>
              <w:rPr>
                <w:rFonts w:ascii="Arial" w:hAnsi="Arial"/>
                <w:lang w:val="en-US"/>
              </w:rPr>
            </w:pPr>
          </w:p>
        </w:tc>
        <w:tc>
          <w:tcPr>
            <w:tcW w:w="7938" w:type="dxa"/>
            <w:vAlign w:val="center"/>
          </w:tcPr>
          <w:p w:rsidR="00F76AD3" w:rsidRPr="006B7572" w:rsidRDefault="000247C9" w:rsidP="004040A5">
            <w:pPr>
              <w:rPr>
                <w:rFonts w:ascii="Arial" w:hAnsi="Arial"/>
                <w:lang w:val="en-US"/>
              </w:rPr>
            </w:pPr>
            <w:r>
              <w:rPr>
                <w:rFonts w:ascii="Arial" w:hAnsi="Arial"/>
                <w:lang w:val="en-US"/>
              </w:rPr>
              <w:t xml:space="preserve">Support </w:t>
            </w:r>
            <w:r w:rsidR="00710613">
              <w:rPr>
                <w:rFonts w:ascii="Arial" w:hAnsi="Arial"/>
                <w:lang w:val="en-US"/>
              </w:rPr>
              <w:t>‘</w:t>
            </w:r>
            <w:r>
              <w:rPr>
                <w:rFonts w:ascii="Arial" w:hAnsi="Arial"/>
                <w:lang w:val="en-US"/>
              </w:rPr>
              <w:t>community case management</w:t>
            </w:r>
            <w:r w:rsidR="00710613">
              <w:rPr>
                <w:rFonts w:ascii="Arial" w:hAnsi="Arial"/>
                <w:lang w:val="en-US"/>
              </w:rPr>
              <w:t>’</w:t>
            </w:r>
            <w:r>
              <w:rPr>
                <w:rFonts w:ascii="Arial" w:hAnsi="Arial"/>
                <w:lang w:val="en-US"/>
              </w:rPr>
              <w:t xml:space="preserve"> through provision of training, VHV kits, quarterly supervision for VHVs, transport allowances for VHVs to attend monthly meetings</w:t>
            </w:r>
            <w:r w:rsidR="00961690">
              <w:rPr>
                <w:rFonts w:ascii="Arial" w:hAnsi="Arial"/>
                <w:lang w:val="en-US"/>
              </w:rPr>
              <w:t xml:space="preserve"> [1.4]</w:t>
            </w:r>
            <w:r>
              <w:rPr>
                <w:rFonts w:ascii="Arial" w:hAnsi="Arial"/>
                <w:lang w:val="en-US"/>
              </w:rPr>
              <w:t xml:space="preserve">. Support </w:t>
            </w:r>
            <w:r w:rsidR="00710613">
              <w:rPr>
                <w:rFonts w:ascii="Arial" w:hAnsi="Arial"/>
                <w:lang w:val="en-US"/>
              </w:rPr>
              <w:t>‘</w:t>
            </w:r>
            <w:r>
              <w:rPr>
                <w:rFonts w:ascii="Arial" w:hAnsi="Arial"/>
                <w:lang w:val="en-US"/>
              </w:rPr>
              <w:t>facility-based treatment</w:t>
            </w:r>
            <w:r w:rsidR="00710613">
              <w:rPr>
                <w:rFonts w:ascii="Arial" w:hAnsi="Arial"/>
                <w:lang w:val="en-US"/>
              </w:rPr>
              <w:t>’</w:t>
            </w:r>
            <w:r>
              <w:rPr>
                <w:rFonts w:ascii="Arial" w:hAnsi="Arial"/>
                <w:lang w:val="en-US"/>
              </w:rPr>
              <w:t xml:space="preserve"> through intensified case detection by mobile teams (pending expansion of VHV network)</w:t>
            </w:r>
            <w:r w:rsidR="00961690">
              <w:rPr>
                <w:rFonts w:ascii="Arial" w:hAnsi="Arial"/>
                <w:lang w:val="en-US"/>
              </w:rPr>
              <w:t xml:space="preserve"> [1.6]</w:t>
            </w:r>
            <w:r>
              <w:rPr>
                <w:rFonts w:ascii="Arial" w:hAnsi="Arial"/>
                <w:lang w:val="en-US"/>
              </w:rPr>
              <w:t>, rollout of G6PD testing</w:t>
            </w:r>
            <w:r w:rsidR="00961690">
              <w:rPr>
                <w:rFonts w:ascii="Arial" w:hAnsi="Arial"/>
                <w:lang w:val="en-US"/>
              </w:rPr>
              <w:t xml:space="preserve"> [1.11</w:t>
            </w:r>
            <w:r w:rsidR="00DB5CCC">
              <w:rPr>
                <w:rFonts w:ascii="Arial" w:hAnsi="Arial"/>
                <w:lang w:val="en-US"/>
              </w:rPr>
              <w:t xml:space="preserve"> – </w:t>
            </w:r>
            <w:r w:rsidR="00DB5CCC" w:rsidRPr="004040A5">
              <w:rPr>
                <w:rFonts w:ascii="Arial" w:hAnsi="Arial"/>
                <w:color w:val="FF0000"/>
                <w:lang w:val="en-US"/>
              </w:rPr>
              <w:t>medium priority</w:t>
            </w:r>
            <w:r w:rsidR="00961690">
              <w:rPr>
                <w:rFonts w:ascii="Arial" w:hAnsi="Arial"/>
                <w:lang w:val="en-US"/>
              </w:rPr>
              <w:t>]</w:t>
            </w:r>
            <w:r>
              <w:rPr>
                <w:rFonts w:ascii="Arial" w:hAnsi="Arial"/>
                <w:lang w:val="en-US"/>
              </w:rPr>
              <w:t xml:space="preserve">, strengthening QA of diagnosis </w:t>
            </w:r>
            <w:r w:rsidR="00961690">
              <w:rPr>
                <w:rFonts w:ascii="Arial" w:hAnsi="Arial"/>
                <w:lang w:val="en-US"/>
              </w:rPr>
              <w:t xml:space="preserve">[1.16.2] </w:t>
            </w:r>
            <w:r w:rsidR="00DB5CCC">
              <w:rPr>
                <w:rFonts w:ascii="Arial" w:hAnsi="Arial"/>
                <w:lang w:val="en-US"/>
              </w:rPr>
              <w:t xml:space="preserve">including establishment of a QA database and provision of external competency testing [1.16.2 – </w:t>
            </w:r>
            <w:r w:rsidR="00DB5CCC" w:rsidRPr="004040A5">
              <w:rPr>
                <w:rFonts w:ascii="Arial" w:hAnsi="Arial"/>
                <w:color w:val="FF0000"/>
                <w:lang w:val="en-US"/>
              </w:rPr>
              <w:t>medium priority</w:t>
            </w:r>
            <w:r w:rsidR="00DB5CCC">
              <w:rPr>
                <w:rFonts w:ascii="Arial" w:hAnsi="Arial"/>
                <w:lang w:val="en-US"/>
              </w:rPr>
              <w:t xml:space="preserve">] </w:t>
            </w:r>
            <w:r>
              <w:rPr>
                <w:rFonts w:ascii="Arial" w:hAnsi="Arial"/>
                <w:lang w:val="en-US"/>
              </w:rPr>
              <w:t>and case management</w:t>
            </w:r>
            <w:r w:rsidR="00961690">
              <w:rPr>
                <w:rFonts w:ascii="Arial" w:hAnsi="Arial"/>
                <w:lang w:val="en-US"/>
              </w:rPr>
              <w:t xml:space="preserve"> [1.16.3]</w:t>
            </w:r>
            <w:r>
              <w:rPr>
                <w:rFonts w:ascii="Arial" w:hAnsi="Arial"/>
                <w:lang w:val="en-US"/>
              </w:rPr>
              <w:t xml:space="preserve">. Support efforts to </w:t>
            </w:r>
            <w:r w:rsidR="00710613">
              <w:rPr>
                <w:rFonts w:ascii="Arial" w:hAnsi="Arial"/>
                <w:lang w:val="en-US"/>
              </w:rPr>
              <w:t>‘</w:t>
            </w:r>
            <w:r>
              <w:rPr>
                <w:rFonts w:ascii="Arial" w:hAnsi="Arial"/>
                <w:lang w:val="en-US"/>
              </w:rPr>
              <w:t>ensure drug quality</w:t>
            </w:r>
            <w:r w:rsidR="00710613">
              <w:rPr>
                <w:rFonts w:ascii="Arial" w:hAnsi="Arial"/>
                <w:lang w:val="en-US"/>
              </w:rPr>
              <w:t>’</w:t>
            </w:r>
            <w:r w:rsidR="003A423B">
              <w:rPr>
                <w:rFonts w:ascii="Arial" w:hAnsi="Arial"/>
                <w:lang w:val="en-US"/>
              </w:rPr>
              <w:t xml:space="preserve">by strengthening role of </w:t>
            </w:r>
            <w:r w:rsidR="003A423B" w:rsidRPr="00134D27">
              <w:rPr>
                <w:rFonts w:ascii="Arial" w:hAnsi="Arial" w:cs="Arial"/>
                <w:color w:val="000000"/>
              </w:rPr>
              <w:t>D</w:t>
            </w:r>
            <w:r w:rsidR="003A423B">
              <w:rPr>
                <w:rFonts w:ascii="Arial" w:hAnsi="Arial" w:cs="Arial"/>
                <w:color w:val="000000"/>
              </w:rPr>
              <w:t xml:space="preserve">rug </w:t>
            </w:r>
            <w:r w:rsidR="003A423B" w:rsidRPr="00134D27">
              <w:rPr>
                <w:rFonts w:ascii="Arial" w:hAnsi="Arial" w:cs="Arial"/>
                <w:color w:val="000000"/>
              </w:rPr>
              <w:t>A</w:t>
            </w:r>
            <w:r w:rsidR="003A423B">
              <w:rPr>
                <w:rFonts w:ascii="Arial" w:hAnsi="Arial" w:cs="Arial"/>
                <w:color w:val="000000"/>
              </w:rPr>
              <w:t xml:space="preserve">dministration </w:t>
            </w:r>
            <w:r w:rsidR="003A423B" w:rsidRPr="00134D27">
              <w:rPr>
                <w:rFonts w:ascii="Arial" w:hAnsi="Arial" w:cs="Arial"/>
                <w:color w:val="000000"/>
              </w:rPr>
              <w:t>D</w:t>
            </w:r>
            <w:r w:rsidR="003A423B">
              <w:rPr>
                <w:rFonts w:ascii="Arial" w:hAnsi="Arial" w:cs="Arial"/>
                <w:color w:val="000000"/>
              </w:rPr>
              <w:t>epartment</w:t>
            </w:r>
            <w:r w:rsidR="00710613">
              <w:rPr>
                <w:rFonts w:ascii="Arial" w:hAnsi="Arial" w:cs="Arial"/>
                <w:color w:val="000000"/>
              </w:rPr>
              <w:t xml:space="preserve"> (DAD)</w:t>
            </w:r>
            <w:r w:rsidR="003A423B">
              <w:rPr>
                <w:rFonts w:ascii="Arial" w:hAnsi="Arial" w:cs="Arial"/>
                <w:color w:val="000000"/>
              </w:rPr>
              <w:t>in</w:t>
            </w:r>
            <w:r w:rsidR="003A423B" w:rsidRPr="00134D27">
              <w:rPr>
                <w:rFonts w:ascii="Arial" w:hAnsi="Arial" w:cs="Arial"/>
                <w:color w:val="000000"/>
              </w:rPr>
              <w:t xml:space="preserve"> antimalarial surveillance and control of inappropriate drugs</w:t>
            </w:r>
            <w:r w:rsidR="00961690">
              <w:rPr>
                <w:rFonts w:ascii="Arial" w:hAnsi="Arial" w:cs="Arial"/>
                <w:color w:val="000000"/>
              </w:rPr>
              <w:t xml:space="preserve"> [1.15.2 &amp; 1.16.1]</w:t>
            </w:r>
            <w:r w:rsidR="003A423B" w:rsidRPr="00134D27">
              <w:rPr>
                <w:rFonts w:ascii="Arial" w:hAnsi="Arial" w:cs="Arial"/>
                <w:color w:val="000000"/>
              </w:rPr>
              <w:t>.</w:t>
            </w:r>
            <w:r w:rsidR="003A423B">
              <w:rPr>
                <w:rFonts w:ascii="Arial" w:hAnsi="Arial" w:cs="Arial"/>
                <w:color w:val="000000"/>
              </w:rPr>
              <w:t xml:space="preserve"> Support </w:t>
            </w:r>
            <w:r w:rsidR="00710613">
              <w:rPr>
                <w:rFonts w:ascii="Arial" w:hAnsi="Arial" w:cs="Arial"/>
                <w:color w:val="000000"/>
              </w:rPr>
              <w:t>‘</w:t>
            </w:r>
            <w:r w:rsidR="003A423B">
              <w:rPr>
                <w:rFonts w:ascii="Arial" w:hAnsi="Arial" w:cs="Arial"/>
                <w:color w:val="000000"/>
              </w:rPr>
              <w:t>e</w:t>
            </w:r>
            <w:r w:rsidR="003A423B" w:rsidRPr="00307126">
              <w:rPr>
                <w:rFonts w:ascii="Arial" w:hAnsi="Arial" w:cs="Arial"/>
                <w:color w:val="000000"/>
              </w:rPr>
              <w:t>pidemic preparedness and response</w:t>
            </w:r>
            <w:r w:rsidR="00710613">
              <w:rPr>
                <w:rFonts w:ascii="Arial" w:hAnsi="Arial" w:cs="Arial"/>
                <w:color w:val="000000"/>
              </w:rPr>
              <w:t>’</w:t>
            </w:r>
            <w:r w:rsidR="003A423B">
              <w:rPr>
                <w:rFonts w:ascii="Arial" w:hAnsi="Arial" w:cs="Arial"/>
                <w:color w:val="000000"/>
              </w:rPr>
              <w:t xml:space="preserve"> by funding outbreak </w:t>
            </w:r>
            <w:r w:rsidR="00710613">
              <w:rPr>
                <w:rFonts w:ascii="Arial" w:hAnsi="Arial" w:cs="Arial"/>
                <w:color w:val="000000"/>
              </w:rPr>
              <w:t xml:space="preserve">investigations </w:t>
            </w:r>
            <w:r w:rsidR="00961690">
              <w:rPr>
                <w:rFonts w:ascii="Arial" w:hAnsi="Arial" w:cs="Arial"/>
                <w:color w:val="000000"/>
              </w:rPr>
              <w:t xml:space="preserve">[3.4] </w:t>
            </w:r>
            <w:r w:rsidR="00710613">
              <w:rPr>
                <w:rFonts w:ascii="Arial" w:hAnsi="Arial" w:cs="Arial"/>
                <w:color w:val="000000"/>
              </w:rPr>
              <w:t xml:space="preserve">and outbreak </w:t>
            </w:r>
            <w:r w:rsidR="003A423B">
              <w:rPr>
                <w:rFonts w:ascii="Arial" w:hAnsi="Arial" w:cs="Arial"/>
                <w:color w:val="000000"/>
              </w:rPr>
              <w:lastRenderedPageBreak/>
              <w:t>responses</w:t>
            </w:r>
            <w:r w:rsidR="00961690">
              <w:rPr>
                <w:rFonts w:ascii="Arial" w:hAnsi="Arial" w:cs="Arial"/>
                <w:color w:val="000000"/>
              </w:rPr>
              <w:t>[3.5]</w:t>
            </w:r>
            <w:r w:rsidR="003A423B">
              <w:rPr>
                <w:rFonts w:ascii="Arial" w:hAnsi="Arial" w:cs="Arial"/>
                <w:color w:val="000000"/>
              </w:rPr>
              <w:t>.</w:t>
            </w:r>
          </w:p>
        </w:tc>
      </w:tr>
      <w:tr w:rsidR="00F76AD3" w:rsidRPr="006B7572" w:rsidTr="006448A4">
        <w:trPr>
          <w:trHeight w:val="420"/>
        </w:trPr>
        <w:tc>
          <w:tcPr>
            <w:tcW w:w="455" w:type="dxa"/>
            <w:vAlign w:val="center"/>
          </w:tcPr>
          <w:p w:rsidR="00F76AD3" w:rsidRPr="006B7572" w:rsidRDefault="00F76AD3" w:rsidP="00F76AD3">
            <w:pPr>
              <w:rPr>
                <w:rFonts w:ascii="Arial" w:hAnsi="Arial"/>
                <w:lang w:val="en-US"/>
              </w:rPr>
            </w:pPr>
            <w:r w:rsidRPr="006B7572">
              <w:rPr>
                <w:rFonts w:ascii="Arial" w:hAnsi="Arial"/>
                <w:lang w:val="en-US"/>
              </w:rPr>
              <w:lastRenderedPageBreak/>
              <w:t>2</w:t>
            </w:r>
          </w:p>
        </w:tc>
        <w:tc>
          <w:tcPr>
            <w:tcW w:w="3084" w:type="dxa"/>
            <w:vAlign w:val="center"/>
          </w:tcPr>
          <w:p w:rsidR="00F76AD3" w:rsidRPr="004040A5" w:rsidRDefault="00A94DDE" w:rsidP="00F76AD3">
            <w:pPr>
              <w:rPr>
                <w:rFonts w:ascii="Arial" w:hAnsi="Arial" w:cs="Arial"/>
                <w:sz w:val="20"/>
                <w:szCs w:val="20"/>
                <w:lang w:val="en-US"/>
              </w:rPr>
            </w:pPr>
            <w:r w:rsidRPr="004040A5">
              <w:rPr>
                <w:rFonts w:ascii="Arial" w:hAnsi="Arial" w:cs="Arial"/>
                <w:sz w:val="20"/>
                <w:szCs w:val="20"/>
                <w:lang w:val="en-US"/>
              </w:rPr>
              <w:t>Vector control</w:t>
            </w:r>
          </w:p>
        </w:tc>
        <w:tc>
          <w:tcPr>
            <w:tcW w:w="2410" w:type="dxa"/>
            <w:vAlign w:val="center"/>
          </w:tcPr>
          <w:p w:rsidR="00F76AD3" w:rsidRPr="006B7572" w:rsidRDefault="00F76AD3" w:rsidP="00F76AD3">
            <w:pPr>
              <w:rPr>
                <w:rFonts w:ascii="Arial" w:hAnsi="Arial"/>
                <w:lang w:val="en-US"/>
              </w:rPr>
            </w:pPr>
          </w:p>
        </w:tc>
        <w:tc>
          <w:tcPr>
            <w:tcW w:w="7938" w:type="dxa"/>
            <w:vAlign w:val="center"/>
          </w:tcPr>
          <w:p w:rsidR="00F76AD3" w:rsidRPr="006B7572" w:rsidRDefault="003A423B" w:rsidP="004040A5">
            <w:pPr>
              <w:rPr>
                <w:rFonts w:ascii="Arial" w:hAnsi="Arial"/>
                <w:lang w:val="en-US"/>
              </w:rPr>
            </w:pPr>
            <w:r>
              <w:rPr>
                <w:rFonts w:ascii="Arial" w:hAnsi="Arial" w:cs="Arial"/>
                <w:color w:val="000000"/>
              </w:rPr>
              <w:t xml:space="preserve">Support mass campaigns for the distribution of LLINs through </w:t>
            </w:r>
            <w:r w:rsidR="00710613">
              <w:rPr>
                <w:rFonts w:ascii="Arial" w:hAnsi="Arial" w:cs="Arial"/>
                <w:color w:val="000000"/>
              </w:rPr>
              <w:t>provision of funds</w:t>
            </w:r>
            <w:r>
              <w:rPr>
                <w:rFonts w:ascii="Arial" w:hAnsi="Arial" w:cs="Arial"/>
                <w:color w:val="000000"/>
              </w:rPr>
              <w:t xml:space="preserve"> for micro-planning</w:t>
            </w:r>
            <w:r w:rsidR="00DB5CCC">
              <w:rPr>
                <w:rFonts w:ascii="Arial" w:hAnsi="Arial" w:cs="Arial"/>
                <w:color w:val="000000"/>
              </w:rPr>
              <w:t>at Central, GO-NGO, district (</w:t>
            </w:r>
            <w:r w:rsidR="00DB5CCC" w:rsidRPr="00A96D04">
              <w:rPr>
                <w:rFonts w:ascii="Arial" w:hAnsi="Arial"/>
                <w:color w:val="FF0000"/>
                <w:lang w:val="en-US"/>
              </w:rPr>
              <w:t>medium priority</w:t>
            </w:r>
            <w:r w:rsidR="00DB5CCC">
              <w:rPr>
                <w:rFonts w:ascii="Arial" w:hAnsi="Arial" w:cs="Arial"/>
                <w:color w:val="000000"/>
              </w:rPr>
              <w:t>) and upazila (</w:t>
            </w:r>
            <w:r w:rsidR="00DB5CCC">
              <w:rPr>
                <w:rFonts w:ascii="Arial" w:hAnsi="Arial"/>
                <w:color w:val="FF0000"/>
                <w:lang w:val="en-US"/>
              </w:rPr>
              <w:t>low</w:t>
            </w:r>
            <w:r w:rsidR="00DB5CCC" w:rsidRPr="00A96D04">
              <w:rPr>
                <w:rFonts w:ascii="Arial" w:hAnsi="Arial"/>
                <w:color w:val="FF0000"/>
                <w:lang w:val="en-US"/>
              </w:rPr>
              <w:t xml:space="preserve"> priority</w:t>
            </w:r>
            <w:r w:rsidR="00DB5CCC">
              <w:rPr>
                <w:rFonts w:ascii="Arial" w:hAnsi="Arial" w:cs="Arial"/>
                <w:color w:val="000000"/>
              </w:rPr>
              <w:t xml:space="preserve">) levels </w:t>
            </w:r>
            <w:r w:rsidR="00961690">
              <w:rPr>
                <w:rFonts w:ascii="Arial" w:hAnsi="Arial" w:cs="Arial"/>
                <w:color w:val="000000"/>
              </w:rPr>
              <w:t>[2.1]</w:t>
            </w:r>
            <w:r>
              <w:rPr>
                <w:rFonts w:ascii="Arial" w:hAnsi="Arial" w:cs="Arial"/>
                <w:color w:val="000000"/>
              </w:rPr>
              <w:t xml:space="preserve">. Support </w:t>
            </w:r>
            <w:r w:rsidR="00710613">
              <w:rPr>
                <w:rFonts w:ascii="Arial" w:hAnsi="Arial" w:cs="Arial"/>
                <w:color w:val="000000"/>
              </w:rPr>
              <w:t>‘</w:t>
            </w:r>
            <w:r>
              <w:rPr>
                <w:rFonts w:ascii="Arial" w:hAnsi="Arial" w:cs="Arial"/>
                <w:color w:val="000000"/>
              </w:rPr>
              <w:t>entomological monitoring</w:t>
            </w:r>
            <w:r w:rsidR="00710613">
              <w:rPr>
                <w:rFonts w:ascii="Arial" w:hAnsi="Arial" w:cs="Arial"/>
                <w:color w:val="000000"/>
              </w:rPr>
              <w:t>’</w:t>
            </w:r>
            <w:r>
              <w:rPr>
                <w:rFonts w:ascii="Arial" w:hAnsi="Arial" w:cs="Arial"/>
                <w:color w:val="000000"/>
              </w:rPr>
              <w:t xml:space="preserve"> through TA </w:t>
            </w:r>
            <w:r w:rsidR="00961690">
              <w:rPr>
                <w:rFonts w:ascii="Arial" w:hAnsi="Arial" w:cs="Arial"/>
                <w:color w:val="000000"/>
              </w:rPr>
              <w:t xml:space="preserve"> [3.14] </w:t>
            </w:r>
            <w:r>
              <w:rPr>
                <w:rFonts w:ascii="Arial" w:hAnsi="Arial" w:cs="Arial"/>
                <w:color w:val="000000"/>
              </w:rPr>
              <w:t>and provision of a training microscope</w:t>
            </w:r>
            <w:r w:rsidR="00961690">
              <w:rPr>
                <w:rFonts w:ascii="Arial" w:hAnsi="Arial" w:cs="Arial"/>
                <w:color w:val="000000"/>
              </w:rPr>
              <w:t xml:space="preserve"> [3.14</w:t>
            </w:r>
            <w:r w:rsidR="00DB5CCC">
              <w:rPr>
                <w:rFonts w:ascii="Arial" w:hAnsi="Arial" w:cs="Arial"/>
                <w:color w:val="000000"/>
              </w:rPr>
              <w:t xml:space="preserve"> - </w:t>
            </w:r>
            <w:r w:rsidR="00DB5CCC" w:rsidRPr="00A96D04">
              <w:rPr>
                <w:rFonts w:ascii="Arial" w:hAnsi="Arial"/>
                <w:color w:val="FF0000"/>
                <w:lang w:val="en-US"/>
              </w:rPr>
              <w:t>medium priority</w:t>
            </w:r>
            <w:r w:rsidR="00961690">
              <w:rPr>
                <w:rFonts w:ascii="Arial" w:hAnsi="Arial" w:cs="Arial"/>
                <w:color w:val="000000"/>
              </w:rPr>
              <w:t>]</w:t>
            </w:r>
            <w:r>
              <w:rPr>
                <w:rFonts w:ascii="Arial" w:hAnsi="Arial" w:cs="Arial"/>
                <w:color w:val="000000"/>
              </w:rPr>
              <w:t>.</w:t>
            </w:r>
          </w:p>
        </w:tc>
      </w:tr>
      <w:tr w:rsidR="00F76AD3" w:rsidRPr="006B7572" w:rsidTr="006448A4">
        <w:trPr>
          <w:trHeight w:val="413"/>
        </w:trPr>
        <w:tc>
          <w:tcPr>
            <w:tcW w:w="455" w:type="dxa"/>
            <w:vAlign w:val="center"/>
          </w:tcPr>
          <w:p w:rsidR="00F76AD3" w:rsidRPr="006B7572" w:rsidRDefault="00F76AD3" w:rsidP="00F76AD3">
            <w:pPr>
              <w:rPr>
                <w:rFonts w:ascii="Arial" w:hAnsi="Arial"/>
                <w:lang w:val="en-US"/>
              </w:rPr>
            </w:pPr>
            <w:r w:rsidRPr="006B7572">
              <w:rPr>
                <w:rFonts w:ascii="Arial" w:hAnsi="Arial"/>
                <w:lang w:val="en-US"/>
              </w:rPr>
              <w:t>3</w:t>
            </w:r>
          </w:p>
        </w:tc>
        <w:tc>
          <w:tcPr>
            <w:tcW w:w="3084" w:type="dxa"/>
            <w:vAlign w:val="center"/>
          </w:tcPr>
          <w:p w:rsidR="00F76AD3" w:rsidRPr="004040A5" w:rsidRDefault="00A94DDE" w:rsidP="00F76AD3">
            <w:pPr>
              <w:rPr>
                <w:rFonts w:ascii="Arial" w:hAnsi="Arial" w:cs="Arial"/>
                <w:sz w:val="20"/>
                <w:szCs w:val="20"/>
                <w:lang w:val="en-US"/>
              </w:rPr>
            </w:pPr>
            <w:r w:rsidRPr="004040A5">
              <w:rPr>
                <w:rFonts w:ascii="Arial" w:hAnsi="Arial" w:cs="Arial"/>
                <w:sz w:val="20"/>
                <w:szCs w:val="20"/>
              </w:rPr>
              <w:t>HSS - Health information systems and M&amp;E</w:t>
            </w:r>
          </w:p>
        </w:tc>
        <w:tc>
          <w:tcPr>
            <w:tcW w:w="2410" w:type="dxa"/>
            <w:vAlign w:val="center"/>
          </w:tcPr>
          <w:p w:rsidR="00F76AD3" w:rsidRPr="006B7572" w:rsidRDefault="00F76AD3" w:rsidP="00F76AD3">
            <w:pPr>
              <w:rPr>
                <w:rFonts w:ascii="Arial" w:hAnsi="Arial"/>
                <w:lang w:val="en-US"/>
              </w:rPr>
            </w:pPr>
          </w:p>
        </w:tc>
        <w:tc>
          <w:tcPr>
            <w:tcW w:w="7938" w:type="dxa"/>
            <w:vAlign w:val="center"/>
          </w:tcPr>
          <w:p w:rsidR="00F76AD3" w:rsidRPr="006B7572" w:rsidRDefault="00710613" w:rsidP="004040A5">
            <w:pPr>
              <w:rPr>
                <w:rFonts w:ascii="Arial" w:hAnsi="Arial"/>
                <w:lang w:val="en-US"/>
              </w:rPr>
            </w:pPr>
            <w:r>
              <w:rPr>
                <w:rFonts w:ascii="Arial" w:hAnsi="Arial"/>
                <w:lang w:val="en-US"/>
              </w:rPr>
              <w:t xml:space="preserve">Support ‘routine reporting’ through procurement of GIS software </w:t>
            </w:r>
            <w:r w:rsidR="00961690">
              <w:rPr>
                <w:rFonts w:ascii="Arial" w:hAnsi="Arial"/>
                <w:lang w:val="en-US"/>
              </w:rPr>
              <w:t>[3.1</w:t>
            </w:r>
            <w:r w:rsidR="00DB5CCC">
              <w:rPr>
                <w:rFonts w:ascii="Arial" w:hAnsi="Arial"/>
                <w:lang w:val="en-US"/>
              </w:rPr>
              <w:t xml:space="preserve"> - </w:t>
            </w:r>
            <w:r w:rsidR="00DB5CCC" w:rsidRPr="00A96D04">
              <w:rPr>
                <w:rFonts w:ascii="Arial" w:hAnsi="Arial"/>
                <w:color w:val="FF0000"/>
                <w:lang w:val="en-US"/>
              </w:rPr>
              <w:t>medium priority</w:t>
            </w:r>
            <w:r w:rsidR="00961690">
              <w:rPr>
                <w:rFonts w:ascii="Arial" w:hAnsi="Arial"/>
                <w:lang w:val="en-US"/>
              </w:rPr>
              <w:t xml:space="preserve">] </w:t>
            </w:r>
            <w:r>
              <w:rPr>
                <w:rFonts w:ascii="Arial" w:hAnsi="Arial" w:cs="Arial"/>
                <w:color w:val="000000"/>
              </w:rPr>
              <w:t>and t</w:t>
            </w:r>
            <w:r w:rsidRPr="00890F10">
              <w:rPr>
                <w:rFonts w:ascii="Arial" w:hAnsi="Arial" w:cs="Arial"/>
                <w:color w:val="000000"/>
              </w:rPr>
              <w:t>raining costs associated with pharmacovigilance strengthening by DAD</w:t>
            </w:r>
            <w:r w:rsidR="00961690">
              <w:rPr>
                <w:rFonts w:ascii="Arial" w:hAnsi="Arial" w:cs="Arial"/>
                <w:color w:val="000000"/>
              </w:rPr>
              <w:t xml:space="preserve"> [3.12]</w:t>
            </w:r>
            <w:r>
              <w:rPr>
                <w:rFonts w:ascii="Arial" w:hAnsi="Arial"/>
                <w:lang w:val="en-US"/>
              </w:rPr>
              <w:t>. Support ‘</w:t>
            </w:r>
            <w:r>
              <w:rPr>
                <w:rFonts w:ascii="Arial" w:hAnsi="Arial" w:cs="Arial"/>
                <w:color w:val="000000"/>
              </w:rPr>
              <w:t>a</w:t>
            </w:r>
            <w:r w:rsidRPr="00996DFC">
              <w:rPr>
                <w:rFonts w:ascii="Arial" w:hAnsi="Arial" w:cs="Arial"/>
                <w:color w:val="000000"/>
              </w:rPr>
              <w:t>nalysis, review and transparency</w:t>
            </w:r>
            <w:r>
              <w:rPr>
                <w:rFonts w:ascii="Arial" w:hAnsi="Arial" w:cs="Arial"/>
                <w:color w:val="000000"/>
              </w:rPr>
              <w:t xml:space="preserve">’ through the procurement of </w:t>
            </w:r>
            <w:r w:rsidRPr="00B67774">
              <w:rPr>
                <w:rFonts w:ascii="Arial" w:hAnsi="Arial" w:cs="Arial"/>
                <w:color w:val="000000"/>
              </w:rPr>
              <w:t>PCR machine</w:t>
            </w:r>
            <w:r w:rsidR="00961690">
              <w:rPr>
                <w:rFonts w:ascii="Arial" w:hAnsi="Arial" w:cs="Arial"/>
                <w:color w:val="000000"/>
              </w:rPr>
              <w:t xml:space="preserve"> [SE1.1</w:t>
            </w:r>
            <w:r w:rsidR="00DB5CCC">
              <w:rPr>
                <w:rFonts w:ascii="Arial" w:hAnsi="Arial" w:cs="Arial"/>
                <w:color w:val="000000"/>
              </w:rPr>
              <w:t xml:space="preserve"> - </w:t>
            </w:r>
            <w:r w:rsidR="00DB5CCC">
              <w:rPr>
                <w:rFonts w:ascii="Arial" w:hAnsi="Arial"/>
                <w:color w:val="FF0000"/>
                <w:lang w:val="en-US"/>
              </w:rPr>
              <w:t>low</w:t>
            </w:r>
            <w:r w:rsidR="00DB5CCC" w:rsidRPr="00A96D04">
              <w:rPr>
                <w:rFonts w:ascii="Arial" w:hAnsi="Arial"/>
                <w:color w:val="FF0000"/>
                <w:lang w:val="en-US"/>
              </w:rPr>
              <w:t xml:space="preserve"> priority</w:t>
            </w:r>
            <w:r w:rsidR="00961690">
              <w:rPr>
                <w:rFonts w:ascii="Arial" w:hAnsi="Arial" w:cs="Arial"/>
                <w:color w:val="000000"/>
              </w:rPr>
              <w:t>].</w:t>
            </w:r>
          </w:p>
        </w:tc>
      </w:tr>
      <w:tr w:rsidR="00F76AD3" w:rsidRPr="006B7572" w:rsidTr="006448A4">
        <w:trPr>
          <w:trHeight w:val="419"/>
        </w:trPr>
        <w:tc>
          <w:tcPr>
            <w:tcW w:w="455" w:type="dxa"/>
            <w:vAlign w:val="center"/>
          </w:tcPr>
          <w:p w:rsidR="00F76AD3" w:rsidRPr="006B7572" w:rsidRDefault="00F76AD3" w:rsidP="00F76AD3">
            <w:pPr>
              <w:rPr>
                <w:rFonts w:ascii="Arial" w:hAnsi="Arial"/>
                <w:lang w:val="en-US"/>
              </w:rPr>
            </w:pPr>
            <w:r w:rsidRPr="006B7572">
              <w:rPr>
                <w:rFonts w:ascii="Arial" w:hAnsi="Arial"/>
                <w:lang w:val="en-US"/>
              </w:rPr>
              <w:t>4</w:t>
            </w:r>
          </w:p>
        </w:tc>
        <w:tc>
          <w:tcPr>
            <w:tcW w:w="3084" w:type="dxa"/>
            <w:vAlign w:val="center"/>
          </w:tcPr>
          <w:p w:rsidR="00F76AD3" w:rsidRPr="004040A5" w:rsidRDefault="00A94DDE" w:rsidP="00F76AD3">
            <w:pPr>
              <w:rPr>
                <w:rFonts w:ascii="Arial" w:hAnsi="Arial" w:cs="Arial"/>
                <w:sz w:val="20"/>
                <w:szCs w:val="20"/>
                <w:lang w:val="en-US"/>
              </w:rPr>
            </w:pPr>
            <w:r w:rsidRPr="004040A5">
              <w:rPr>
                <w:rFonts w:ascii="Arial" w:hAnsi="Arial" w:cs="Arial"/>
                <w:sz w:val="20"/>
                <w:szCs w:val="20"/>
                <w:lang w:val="en-US"/>
              </w:rPr>
              <w:t>Programme man</w:t>
            </w:r>
            <w:r>
              <w:rPr>
                <w:rFonts w:ascii="Arial" w:hAnsi="Arial" w:cs="Arial"/>
                <w:sz w:val="20"/>
                <w:szCs w:val="20"/>
                <w:lang w:val="en-US"/>
              </w:rPr>
              <w:t>a</w:t>
            </w:r>
            <w:r w:rsidRPr="004040A5">
              <w:rPr>
                <w:rFonts w:ascii="Arial" w:hAnsi="Arial" w:cs="Arial"/>
                <w:sz w:val="20"/>
                <w:szCs w:val="20"/>
                <w:lang w:val="en-US"/>
              </w:rPr>
              <w:t>gement</w:t>
            </w:r>
          </w:p>
        </w:tc>
        <w:tc>
          <w:tcPr>
            <w:tcW w:w="2410" w:type="dxa"/>
            <w:vAlign w:val="center"/>
          </w:tcPr>
          <w:p w:rsidR="00F76AD3" w:rsidRPr="006B7572" w:rsidRDefault="00F76AD3" w:rsidP="00F76AD3">
            <w:pPr>
              <w:rPr>
                <w:rFonts w:ascii="Arial" w:hAnsi="Arial"/>
                <w:lang w:val="en-US"/>
              </w:rPr>
            </w:pPr>
          </w:p>
        </w:tc>
        <w:tc>
          <w:tcPr>
            <w:tcW w:w="7938" w:type="dxa"/>
            <w:vAlign w:val="center"/>
          </w:tcPr>
          <w:p w:rsidR="00F76AD3" w:rsidRPr="006B7572" w:rsidRDefault="00710613" w:rsidP="004040A5">
            <w:pPr>
              <w:rPr>
                <w:rFonts w:ascii="Arial" w:hAnsi="Arial"/>
                <w:lang w:val="en-US"/>
              </w:rPr>
            </w:pPr>
            <w:r>
              <w:rPr>
                <w:rFonts w:ascii="Arial" w:hAnsi="Arial" w:cs="Arial"/>
                <w:color w:val="000000"/>
              </w:rPr>
              <w:t>Support ‘p</w:t>
            </w:r>
            <w:r w:rsidRPr="003C558C">
              <w:rPr>
                <w:rFonts w:ascii="Arial" w:hAnsi="Arial" w:cs="Arial"/>
                <w:color w:val="000000"/>
              </w:rPr>
              <w:t>olicy, planning, coordination and management</w:t>
            </w:r>
            <w:r>
              <w:rPr>
                <w:rFonts w:ascii="Arial" w:hAnsi="Arial" w:cs="Arial"/>
                <w:color w:val="000000"/>
              </w:rPr>
              <w:t xml:space="preserve">’ </w:t>
            </w:r>
            <w:r w:rsidR="008A204A">
              <w:rPr>
                <w:rFonts w:ascii="Arial" w:hAnsi="Arial" w:cs="Arial"/>
                <w:color w:val="000000"/>
              </w:rPr>
              <w:t>through provision of funds for quarterly meetings at district level, printing documents (guidelines, SOPs etc.)</w:t>
            </w:r>
            <w:r w:rsidR="003B1D3B">
              <w:rPr>
                <w:rFonts w:ascii="Arial" w:hAnsi="Arial" w:cs="Arial"/>
                <w:color w:val="000000"/>
              </w:rPr>
              <w:t xml:space="preserve"> [SE2.2.1]</w:t>
            </w:r>
            <w:r w:rsidR="008A204A">
              <w:rPr>
                <w:rFonts w:ascii="Arial" w:hAnsi="Arial" w:cs="Arial"/>
                <w:color w:val="000000"/>
              </w:rPr>
              <w:t>, TA for NSP development</w:t>
            </w:r>
            <w:r w:rsidR="003B1D3B">
              <w:rPr>
                <w:rFonts w:ascii="Arial" w:hAnsi="Arial" w:cs="Arial"/>
                <w:color w:val="000000"/>
              </w:rPr>
              <w:t xml:space="preserve"> [SE2.2.3]</w:t>
            </w:r>
            <w:r w:rsidR="008A204A">
              <w:rPr>
                <w:rFonts w:ascii="Arial" w:hAnsi="Arial" w:cs="Arial"/>
                <w:color w:val="000000"/>
              </w:rPr>
              <w:t>, coordination meetings</w:t>
            </w:r>
            <w:r w:rsidR="003B1D3B">
              <w:rPr>
                <w:rFonts w:ascii="Arial" w:hAnsi="Arial" w:cs="Arial"/>
                <w:color w:val="000000"/>
              </w:rPr>
              <w:t xml:space="preserve"> [SE2.5]</w:t>
            </w:r>
            <w:r w:rsidR="008A204A">
              <w:rPr>
                <w:rFonts w:ascii="Arial" w:hAnsi="Arial" w:cs="Arial"/>
                <w:color w:val="000000"/>
              </w:rPr>
              <w:t>, HR development planning</w:t>
            </w:r>
            <w:r w:rsidR="003B1D3B">
              <w:rPr>
                <w:rFonts w:ascii="Arial" w:hAnsi="Arial" w:cs="Arial"/>
                <w:color w:val="000000"/>
              </w:rPr>
              <w:t xml:space="preserve"> [SE2.8.1]</w:t>
            </w:r>
            <w:r w:rsidR="008A204A">
              <w:rPr>
                <w:rFonts w:ascii="Arial" w:hAnsi="Arial" w:cs="Arial"/>
                <w:color w:val="000000"/>
              </w:rPr>
              <w:t xml:space="preserve">, elimination induction workshop (and associated training - ToT </w:t>
            </w:r>
            <w:r w:rsidR="003B1D3B">
              <w:rPr>
                <w:rFonts w:ascii="Arial" w:hAnsi="Arial" w:cs="Arial"/>
                <w:color w:val="000000"/>
              </w:rPr>
              <w:t>[SE2.8.3] and in-country MMFO courses [SE2.8.4</w:t>
            </w:r>
            <w:r w:rsidR="00DB5CCC">
              <w:rPr>
                <w:rFonts w:ascii="Arial" w:hAnsi="Arial" w:cs="Arial"/>
                <w:color w:val="000000"/>
              </w:rPr>
              <w:t xml:space="preserve"> - </w:t>
            </w:r>
            <w:r w:rsidR="00DB5CCC" w:rsidRPr="00A96D04">
              <w:rPr>
                <w:rFonts w:ascii="Arial" w:hAnsi="Arial"/>
                <w:color w:val="FF0000"/>
                <w:lang w:val="en-US"/>
              </w:rPr>
              <w:t>medium priority</w:t>
            </w:r>
            <w:r w:rsidR="003B1D3B">
              <w:rPr>
                <w:rFonts w:ascii="Arial" w:hAnsi="Arial" w:cs="Arial"/>
                <w:color w:val="000000"/>
              </w:rPr>
              <w:t>])</w:t>
            </w:r>
            <w:r w:rsidR="008A204A">
              <w:rPr>
                <w:rFonts w:ascii="Arial" w:hAnsi="Arial" w:cs="Arial"/>
                <w:color w:val="000000"/>
              </w:rPr>
              <w:t>, procurement of vehicles (and associated running costs)</w:t>
            </w:r>
            <w:r w:rsidR="00DB5CCC">
              <w:rPr>
                <w:rFonts w:ascii="Arial" w:hAnsi="Arial"/>
                <w:color w:val="FF0000"/>
                <w:lang w:val="en-US"/>
              </w:rPr>
              <w:t>(</w:t>
            </w:r>
            <w:r w:rsidR="00DB5CCC" w:rsidRPr="00A96D04">
              <w:rPr>
                <w:rFonts w:ascii="Arial" w:hAnsi="Arial"/>
                <w:color w:val="FF0000"/>
                <w:lang w:val="en-US"/>
              </w:rPr>
              <w:t>medium priority</w:t>
            </w:r>
            <w:r w:rsidR="00DB5CCC">
              <w:rPr>
                <w:rFonts w:ascii="Arial" w:hAnsi="Arial"/>
                <w:color w:val="FF0000"/>
                <w:lang w:val="en-US"/>
              </w:rPr>
              <w:t>)</w:t>
            </w:r>
            <w:r w:rsidR="008A204A">
              <w:rPr>
                <w:rFonts w:ascii="Arial" w:hAnsi="Arial" w:cs="Arial"/>
                <w:color w:val="000000"/>
              </w:rPr>
              <w:t xml:space="preserve">, equipment maintenance, procurement of furniture </w:t>
            </w:r>
            <w:r w:rsidR="00DB5CCC">
              <w:rPr>
                <w:rFonts w:ascii="Arial" w:hAnsi="Arial" w:cs="Arial"/>
                <w:color w:val="000000"/>
              </w:rPr>
              <w:t>(</w:t>
            </w:r>
            <w:r w:rsidR="00DB5CCC" w:rsidRPr="00A96D04">
              <w:rPr>
                <w:rFonts w:ascii="Arial" w:hAnsi="Arial"/>
                <w:color w:val="FF0000"/>
                <w:lang w:val="en-US"/>
              </w:rPr>
              <w:t>medium priority</w:t>
            </w:r>
            <w:r w:rsidR="00DB5CCC">
              <w:rPr>
                <w:rFonts w:ascii="Arial" w:hAnsi="Arial" w:cs="Arial"/>
                <w:color w:val="000000"/>
              </w:rPr>
              <w:t xml:space="preserve">) </w:t>
            </w:r>
            <w:r w:rsidR="008A204A">
              <w:rPr>
                <w:rFonts w:ascii="Arial" w:hAnsi="Arial" w:cs="Arial"/>
                <w:color w:val="000000"/>
              </w:rPr>
              <w:t>and office equipment</w:t>
            </w:r>
            <w:r w:rsidR="003B1D3B">
              <w:rPr>
                <w:rFonts w:ascii="Arial" w:hAnsi="Arial" w:cs="Arial"/>
                <w:color w:val="000000"/>
              </w:rPr>
              <w:t xml:space="preserve"> [SE2.9]</w:t>
            </w:r>
            <w:r w:rsidR="008A204A">
              <w:rPr>
                <w:rFonts w:ascii="Arial" w:hAnsi="Arial" w:cs="Arial"/>
                <w:color w:val="000000"/>
              </w:rPr>
              <w:t xml:space="preserve">, </w:t>
            </w:r>
            <w:r w:rsidR="003B1D3B">
              <w:rPr>
                <w:rFonts w:ascii="Arial" w:hAnsi="Arial" w:cs="Arial"/>
                <w:color w:val="000000"/>
              </w:rPr>
              <w:t xml:space="preserve">and </w:t>
            </w:r>
            <w:r w:rsidR="0028304C">
              <w:rPr>
                <w:rFonts w:ascii="Arial" w:hAnsi="Arial" w:cs="Arial"/>
                <w:color w:val="000000"/>
              </w:rPr>
              <w:t xml:space="preserve">quarterly </w:t>
            </w:r>
            <w:r w:rsidR="008A204A" w:rsidRPr="00B17C0F">
              <w:rPr>
                <w:rFonts w:ascii="Arial" w:hAnsi="Arial" w:cs="Arial"/>
                <w:color w:val="000000"/>
              </w:rPr>
              <w:t>supervision</w:t>
            </w:r>
            <w:r w:rsidR="008A204A">
              <w:rPr>
                <w:rFonts w:ascii="Arial" w:hAnsi="Arial" w:cs="Arial"/>
                <w:color w:val="000000"/>
              </w:rPr>
              <w:t xml:space="preserve"> by central</w:t>
            </w:r>
            <w:r w:rsidR="0028304C">
              <w:rPr>
                <w:rFonts w:ascii="Arial" w:hAnsi="Arial" w:cs="Arial"/>
                <w:color w:val="000000"/>
              </w:rPr>
              <w:t xml:space="preserve">teams </w:t>
            </w:r>
            <w:r w:rsidR="00DB5CCC">
              <w:rPr>
                <w:rFonts w:ascii="Arial" w:hAnsi="Arial" w:cs="Arial"/>
                <w:color w:val="000000"/>
              </w:rPr>
              <w:t>(</w:t>
            </w:r>
            <w:r w:rsidR="00DB5CCC" w:rsidRPr="00A96D04">
              <w:rPr>
                <w:rFonts w:ascii="Arial" w:hAnsi="Arial"/>
                <w:color w:val="FF0000"/>
                <w:lang w:val="en-US"/>
              </w:rPr>
              <w:t>medium priority</w:t>
            </w:r>
            <w:r w:rsidR="00DB5CCC">
              <w:rPr>
                <w:rFonts w:ascii="Arial" w:hAnsi="Arial" w:cs="Arial"/>
                <w:color w:val="000000"/>
              </w:rPr>
              <w:t>)</w:t>
            </w:r>
            <w:r w:rsidR="008A204A">
              <w:rPr>
                <w:rFonts w:ascii="Arial" w:hAnsi="Arial" w:cs="Arial"/>
                <w:color w:val="000000"/>
              </w:rPr>
              <w:t xml:space="preserve">, </w:t>
            </w:r>
            <w:r w:rsidR="0028304C">
              <w:rPr>
                <w:rFonts w:ascii="Arial" w:hAnsi="Arial" w:cs="Arial"/>
                <w:color w:val="000000"/>
              </w:rPr>
              <w:t xml:space="preserve">six-monthly </w:t>
            </w:r>
            <w:r w:rsidR="0028304C" w:rsidRPr="00B17C0F">
              <w:rPr>
                <w:rFonts w:ascii="Arial" w:hAnsi="Arial" w:cs="Arial"/>
                <w:color w:val="000000"/>
              </w:rPr>
              <w:t>supervision</w:t>
            </w:r>
            <w:r w:rsidR="0028304C">
              <w:rPr>
                <w:rFonts w:ascii="Arial" w:hAnsi="Arial" w:cs="Arial"/>
                <w:color w:val="000000"/>
              </w:rPr>
              <w:t xml:space="preserve"> by district teams, quarterly </w:t>
            </w:r>
            <w:r w:rsidR="0028304C" w:rsidRPr="00B17C0F">
              <w:rPr>
                <w:rFonts w:ascii="Arial" w:hAnsi="Arial" w:cs="Arial"/>
                <w:color w:val="000000"/>
              </w:rPr>
              <w:t>supervision</w:t>
            </w:r>
            <w:r w:rsidR="0028304C">
              <w:rPr>
                <w:rFonts w:ascii="Arial" w:hAnsi="Arial" w:cs="Arial"/>
                <w:color w:val="000000"/>
              </w:rPr>
              <w:t xml:space="preserve"> by </w:t>
            </w:r>
            <w:r w:rsidR="008A204A">
              <w:rPr>
                <w:rFonts w:ascii="Arial" w:hAnsi="Arial" w:cs="Arial"/>
                <w:color w:val="000000"/>
              </w:rPr>
              <w:t>district and upazila</w:t>
            </w:r>
            <w:r w:rsidR="0028304C">
              <w:rPr>
                <w:rFonts w:ascii="Arial" w:hAnsi="Arial" w:cs="Arial"/>
                <w:color w:val="000000"/>
              </w:rPr>
              <w:t xml:space="preserve"> teams</w:t>
            </w:r>
            <w:r w:rsidR="00DB5CCC">
              <w:rPr>
                <w:rFonts w:ascii="Arial" w:hAnsi="Arial" w:cs="Arial"/>
                <w:color w:val="000000"/>
              </w:rPr>
              <w:t xml:space="preserve"> (</w:t>
            </w:r>
            <w:r w:rsidR="00DB5CCC" w:rsidRPr="00A96D04">
              <w:rPr>
                <w:rFonts w:ascii="Arial" w:hAnsi="Arial"/>
                <w:color w:val="FF0000"/>
                <w:lang w:val="en-US"/>
              </w:rPr>
              <w:t>medium priority</w:t>
            </w:r>
            <w:r w:rsidR="00DB5CCC">
              <w:rPr>
                <w:rFonts w:ascii="Arial" w:hAnsi="Arial" w:cs="Arial"/>
                <w:color w:val="000000"/>
              </w:rPr>
              <w:t>)</w:t>
            </w:r>
            <w:r w:rsidR="008A204A">
              <w:rPr>
                <w:rFonts w:ascii="Arial" w:hAnsi="Arial" w:cs="Arial"/>
                <w:color w:val="000000"/>
              </w:rPr>
              <w:t xml:space="preserve"> (including by laboratory technicians</w:t>
            </w:r>
            <w:r w:rsidR="00DB5CCC">
              <w:rPr>
                <w:rFonts w:ascii="Arial" w:hAnsi="Arial" w:cs="Arial"/>
                <w:color w:val="000000"/>
              </w:rPr>
              <w:t xml:space="preserve"> - </w:t>
            </w:r>
            <w:r w:rsidR="00DB5CCC" w:rsidRPr="00A96D04">
              <w:rPr>
                <w:rFonts w:ascii="Arial" w:hAnsi="Arial"/>
                <w:color w:val="FF0000"/>
                <w:lang w:val="en-US"/>
              </w:rPr>
              <w:t>medium priority</w:t>
            </w:r>
            <w:r w:rsidR="008A204A">
              <w:rPr>
                <w:rFonts w:ascii="Arial" w:hAnsi="Arial" w:cs="Arial"/>
                <w:color w:val="000000"/>
              </w:rPr>
              <w:t>).</w:t>
            </w:r>
          </w:p>
        </w:tc>
      </w:tr>
      <w:tr w:rsidR="00F76AD3" w:rsidRPr="006B7572" w:rsidTr="00931061">
        <w:trPr>
          <w:gridAfter w:val="1"/>
          <w:wAfter w:w="7938" w:type="dxa"/>
          <w:trHeight w:val="499"/>
        </w:trPr>
        <w:tc>
          <w:tcPr>
            <w:tcW w:w="3539" w:type="dxa"/>
            <w:gridSpan w:val="2"/>
            <w:shd w:val="clear" w:color="auto" w:fill="F2F2F2"/>
            <w:vAlign w:val="center"/>
          </w:tcPr>
          <w:p w:rsidR="00F76AD3" w:rsidRPr="006B7572" w:rsidRDefault="00F76AD3" w:rsidP="00F76AD3">
            <w:pPr>
              <w:rPr>
                <w:rFonts w:ascii="Arial" w:hAnsi="Arial"/>
                <w:color w:val="AEAAAA" w:themeColor="background2" w:themeShade="BF"/>
                <w:lang w:val="en-US"/>
              </w:rPr>
            </w:pPr>
            <w:r w:rsidRPr="006B7572">
              <w:rPr>
                <w:rFonts w:ascii="Arial" w:hAnsi="Arial"/>
                <w:b/>
                <w:bCs/>
                <w:lang w:val="en-US"/>
              </w:rPr>
              <w:t>TOTAL AMOUNT</w:t>
            </w:r>
          </w:p>
        </w:tc>
        <w:tc>
          <w:tcPr>
            <w:tcW w:w="2410" w:type="dxa"/>
            <w:vAlign w:val="center"/>
          </w:tcPr>
          <w:p w:rsidR="00F76AD3" w:rsidRPr="006B7572" w:rsidRDefault="00F76AD3" w:rsidP="00F76AD3">
            <w:pPr>
              <w:rPr>
                <w:rFonts w:ascii="Arial" w:hAnsi="Arial"/>
                <w:color w:val="AEAAAA" w:themeColor="background2" w:themeShade="BF"/>
                <w:lang w:val="en-US"/>
              </w:rPr>
            </w:pPr>
            <w:bookmarkStart w:id="6" w:name="_GoBack"/>
            <w:bookmarkEnd w:id="6"/>
          </w:p>
        </w:tc>
      </w:tr>
    </w:tbl>
    <w:p w:rsidR="00F76AD3" w:rsidRPr="006B7572" w:rsidRDefault="00F76AD3" w:rsidP="00F76AD3">
      <w:pPr>
        <w:rPr>
          <w:rFonts w:ascii="Arial" w:hAnsi="Arial" w:cs="Arial"/>
          <w:sz w:val="20"/>
          <w:szCs w:val="20"/>
        </w:rPr>
      </w:pPr>
    </w:p>
    <w:p w:rsidR="00F76AD3" w:rsidRPr="006B7572" w:rsidRDefault="00F76AD3" w:rsidP="00F76AD3">
      <w:pPr>
        <w:rPr>
          <w:rFonts w:ascii="Arial" w:hAnsi="Arial" w:cs="Arial"/>
          <w:sz w:val="20"/>
          <w:szCs w:val="20"/>
        </w:rPr>
      </w:pPr>
    </w:p>
    <w:p w:rsidR="00413A1E" w:rsidRPr="006B7572" w:rsidRDefault="00413A1E" w:rsidP="00F76AD3">
      <w:pPr>
        <w:spacing w:before="240"/>
        <w:rPr>
          <w:rFonts w:ascii="Arial" w:hAnsi="Arial" w:cs="Arial"/>
          <w:sz w:val="20"/>
          <w:szCs w:val="20"/>
        </w:rPr>
      </w:pPr>
    </w:p>
    <w:sectPr w:rsidR="00413A1E" w:rsidRPr="006B7572" w:rsidSect="00F76AD3">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B3D" w:rsidRDefault="00527B3D" w:rsidP="00042DCA">
      <w:pPr>
        <w:spacing w:after="0" w:line="240" w:lineRule="auto"/>
      </w:pPr>
      <w:r>
        <w:separator/>
      </w:r>
    </w:p>
  </w:endnote>
  <w:endnote w:type="continuationSeparator" w:id="1">
    <w:p w:rsidR="00527B3D" w:rsidRDefault="00527B3D" w:rsidP="00042DCA">
      <w:pPr>
        <w:spacing w:after="0" w:line="240" w:lineRule="auto"/>
      </w:pPr>
      <w:r>
        <w:continuationSeparator/>
      </w:r>
    </w:p>
  </w:endnote>
  <w:endnote w:type="continuationNotice" w:id="2">
    <w:p w:rsidR="00527B3D" w:rsidRDefault="00527B3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Segoe UI Symbol">
    <w:altName w:val="Calibri"/>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F4" w:rsidRPr="00CA7652" w:rsidRDefault="009328F4">
    <w:pPr>
      <w:pStyle w:val="Footer"/>
      <w:rPr>
        <w:rFonts w:ascii="Arial" w:hAnsi="Arial" w:cs="Arial"/>
        <w:sz w:val="20"/>
        <w:szCs w:val="20"/>
      </w:rPr>
    </w:pPr>
  </w:p>
  <w:p w:rsidR="009328F4" w:rsidRPr="00CA7652" w:rsidRDefault="009328F4">
    <w:pP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F4" w:rsidRPr="00374C37" w:rsidRDefault="009328F4" w:rsidP="00A22A4A">
    <w:pPr>
      <w:pStyle w:val="Footer"/>
      <w:rPr>
        <w:rFonts w:ascii="Arial" w:hAnsi="Arial" w:cs="Arial"/>
        <w:sz w:val="20"/>
        <w:szCs w:val="20"/>
      </w:rPr>
    </w:pPr>
    <w:r w:rsidRPr="00CA7652">
      <w:rPr>
        <w:rFonts w:ascii="Arial" w:hAnsi="Arial" w:cs="Arial"/>
        <w:sz w:val="20"/>
        <w:szCs w:val="20"/>
      </w:rPr>
      <w:t xml:space="preserve">Funding </w:t>
    </w:r>
    <w:r>
      <w:rPr>
        <w:rFonts w:ascii="Arial" w:hAnsi="Arial" w:cs="Arial"/>
        <w:sz w:val="20"/>
        <w:szCs w:val="20"/>
      </w:rPr>
      <w:t xml:space="preserve">Request: Full review </w:t>
    </w:r>
    <w:r>
      <w:rPr>
        <w:rFonts w:ascii="Arial" w:hAnsi="Arial" w:cs="Arial"/>
        <w:sz w:val="20"/>
        <w:szCs w:val="20"/>
      </w:rPr>
      <w:tab/>
    </w:r>
    <w:r>
      <w:rPr>
        <w:rFonts w:ascii="Arial" w:hAnsi="Arial" w:cs="Arial"/>
        <w:sz w:val="20"/>
        <w:szCs w:val="20"/>
      </w:rPr>
      <w:tab/>
      <w:t>15 December</w:t>
    </w:r>
    <w:r w:rsidRPr="00CA7652">
      <w:rPr>
        <w:rFonts w:ascii="Arial" w:hAnsi="Arial" w:cs="Arial"/>
        <w:sz w:val="20"/>
        <w:szCs w:val="20"/>
      </w:rPr>
      <w:t xml:space="preserve"> 2016 | </w:t>
    </w:r>
    <w:sdt>
      <w:sdtPr>
        <w:rPr>
          <w:rFonts w:ascii="Arial" w:hAnsi="Arial" w:cs="Arial"/>
          <w:sz w:val="20"/>
          <w:szCs w:val="20"/>
        </w:rPr>
        <w:id w:val="-1862668363"/>
        <w:docPartObj>
          <w:docPartGallery w:val="Page Numbers (Bottom of Page)"/>
          <w:docPartUnique/>
        </w:docPartObj>
      </w:sdtPr>
      <w:sdtEndPr>
        <w:rPr>
          <w:noProof/>
        </w:rPr>
      </w:sdtEndPr>
      <w:sdtContent>
        <w:r w:rsidR="00817B52" w:rsidRPr="00374C37">
          <w:rPr>
            <w:rFonts w:ascii="Arial" w:hAnsi="Arial" w:cs="Arial"/>
            <w:b/>
            <w:sz w:val="20"/>
            <w:szCs w:val="20"/>
          </w:rPr>
          <w:fldChar w:fldCharType="begin"/>
        </w:r>
        <w:r w:rsidRPr="00374C37">
          <w:rPr>
            <w:rFonts w:ascii="Arial" w:hAnsi="Arial" w:cs="Arial"/>
            <w:b/>
            <w:sz w:val="20"/>
            <w:szCs w:val="20"/>
          </w:rPr>
          <w:instrText xml:space="preserve"> PAGE   \* MERGEFORMAT </w:instrText>
        </w:r>
        <w:r w:rsidR="00817B52" w:rsidRPr="00374C37">
          <w:rPr>
            <w:rFonts w:ascii="Arial" w:hAnsi="Arial" w:cs="Arial"/>
            <w:b/>
            <w:sz w:val="20"/>
            <w:szCs w:val="20"/>
          </w:rPr>
          <w:fldChar w:fldCharType="separate"/>
        </w:r>
        <w:r w:rsidR="00BD20A6">
          <w:rPr>
            <w:rFonts w:ascii="Arial" w:hAnsi="Arial" w:cs="Arial"/>
            <w:b/>
            <w:noProof/>
            <w:sz w:val="20"/>
            <w:szCs w:val="20"/>
          </w:rPr>
          <w:t>22</w:t>
        </w:r>
        <w:r w:rsidR="00817B52" w:rsidRPr="00374C37">
          <w:rPr>
            <w:rFonts w:ascii="Arial" w:hAnsi="Arial" w:cs="Arial"/>
            <w:b/>
            <w:noProof/>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F4" w:rsidRPr="00374C37" w:rsidRDefault="009328F4" w:rsidP="00A22A4A">
    <w:pPr>
      <w:pStyle w:val="Footer"/>
      <w:rPr>
        <w:rFonts w:ascii="Arial" w:hAnsi="Arial" w:cs="Arial"/>
        <w:sz w:val="20"/>
        <w:szCs w:val="20"/>
      </w:rPr>
    </w:pPr>
    <w:r w:rsidRPr="00CA7652">
      <w:rPr>
        <w:rFonts w:ascii="Arial" w:hAnsi="Arial" w:cs="Arial"/>
        <w:sz w:val="20"/>
        <w:szCs w:val="20"/>
      </w:rPr>
      <w:t xml:space="preserve">Funding </w:t>
    </w:r>
    <w:r>
      <w:rPr>
        <w:rFonts w:ascii="Arial" w:hAnsi="Arial" w:cs="Arial"/>
        <w:sz w:val="20"/>
        <w:szCs w:val="20"/>
      </w:rPr>
      <w:t xml:space="preserve">Request: Full review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 December</w:t>
    </w:r>
    <w:r w:rsidRPr="00CA7652">
      <w:rPr>
        <w:rFonts w:ascii="Arial" w:hAnsi="Arial" w:cs="Arial"/>
        <w:sz w:val="20"/>
        <w:szCs w:val="20"/>
      </w:rPr>
      <w:t xml:space="preserve"> 2016 | </w:t>
    </w:r>
    <w:r w:rsidR="00817B52" w:rsidRPr="00374C37">
      <w:rPr>
        <w:rFonts w:ascii="Arial" w:hAnsi="Arial" w:cs="Arial"/>
        <w:b/>
        <w:sz w:val="20"/>
        <w:szCs w:val="20"/>
      </w:rPr>
      <w:fldChar w:fldCharType="begin"/>
    </w:r>
    <w:r w:rsidRPr="00374C37">
      <w:rPr>
        <w:rFonts w:ascii="Arial" w:hAnsi="Arial" w:cs="Arial"/>
        <w:b/>
        <w:sz w:val="20"/>
        <w:szCs w:val="20"/>
      </w:rPr>
      <w:instrText xml:space="preserve"> PAGE   \* MERGEFORMAT </w:instrText>
    </w:r>
    <w:r w:rsidR="00817B52" w:rsidRPr="00374C37">
      <w:rPr>
        <w:rFonts w:ascii="Arial" w:hAnsi="Arial" w:cs="Arial"/>
        <w:b/>
        <w:sz w:val="20"/>
        <w:szCs w:val="20"/>
      </w:rPr>
      <w:fldChar w:fldCharType="separate"/>
    </w:r>
    <w:r w:rsidR="00BD20A6">
      <w:rPr>
        <w:rFonts w:ascii="Arial" w:hAnsi="Arial" w:cs="Arial"/>
        <w:b/>
        <w:noProof/>
        <w:sz w:val="20"/>
        <w:szCs w:val="20"/>
      </w:rPr>
      <w:t>23</w:t>
    </w:r>
    <w:r w:rsidR="00817B52" w:rsidRPr="00374C37">
      <w:rPr>
        <w:rFonts w:ascii="Arial" w:hAnsi="Arial" w:cs="Arial"/>
        <w:b/>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B3D" w:rsidRDefault="00527B3D" w:rsidP="00042DCA">
      <w:pPr>
        <w:spacing w:after="0" w:line="240" w:lineRule="auto"/>
      </w:pPr>
      <w:r>
        <w:separator/>
      </w:r>
    </w:p>
  </w:footnote>
  <w:footnote w:type="continuationSeparator" w:id="1">
    <w:p w:rsidR="00527B3D" w:rsidRDefault="00527B3D" w:rsidP="00042DCA">
      <w:pPr>
        <w:spacing w:after="0" w:line="240" w:lineRule="auto"/>
      </w:pPr>
      <w:r>
        <w:continuationSeparator/>
      </w:r>
    </w:p>
  </w:footnote>
  <w:footnote w:type="continuationNotice" w:id="2">
    <w:p w:rsidR="00527B3D" w:rsidRDefault="00527B3D">
      <w:pPr>
        <w:spacing w:after="0" w:line="240" w:lineRule="auto"/>
      </w:pPr>
    </w:p>
  </w:footnote>
  <w:footnote w:id="3">
    <w:p w:rsidR="009328F4" w:rsidRPr="00975493" w:rsidRDefault="009328F4" w:rsidP="00A86AB5">
      <w:pPr>
        <w:pStyle w:val="FootnoteText"/>
        <w:rPr>
          <w:rFonts w:asciiTheme="majorHAnsi" w:hAnsiTheme="majorHAnsi"/>
          <w:sz w:val="18"/>
          <w:szCs w:val="18"/>
          <w:lang w:val="en-US"/>
        </w:rPr>
      </w:pPr>
      <w:r w:rsidRPr="00975493">
        <w:rPr>
          <w:rStyle w:val="FootnoteReference"/>
          <w:rFonts w:asciiTheme="majorHAnsi" w:hAnsiTheme="majorHAnsi"/>
          <w:sz w:val="18"/>
          <w:szCs w:val="18"/>
        </w:rPr>
        <w:footnoteRef/>
      </w:r>
      <w:r w:rsidRPr="00975493">
        <w:rPr>
          <w:rFonts w:asciiTheme="majorHAnsi" w:hAnsiTheme="majorHAnsi"/>
          <w:sz w:val="18"/>
          <w:szCs w:val="18"/>
          <w:lang w:val="en-US"/>
        </w:rPr>
        <w:t>Ideally diagnosis should be within 25 hours of onset of symptoms.</w:t>
      </w:r>
    </w:p>
  </w:footnote>
  <w:footnote w:id="4">
    <w:p w:rsidR="009328F4" w:rsidRPr="00F919ED" w:rsidRDefault="009328F4" w:rsidP="00E93FA7">
      <w:pPr>
        <w:pStyle w:val="FootnoteText"/>
        <w:rPr>
          <w:rFonts w:asciiTheme="majorHAnsi" w:hAnsiTheme="majorHAnsi"/>
          <w:sz w:val="18"/>
          <w:szCs w:val="18"/>
          <w:lang w:val="en-US"/>
        </w:rPr>
      </w:pPr>
      <w:r w:rsidRPr="00F919ED">
        <w:rPr>
          <w:rStyle w:val="FootnoteReference"/>
          <w:rFonts w:asciiTheme="majorHAnsi" w:hAnsiTheme="majorHAnsi"/>
          <w:sz w:val="18"/>
          <w:szCs w:val="18"/>
        </w:rPr>
        <w:footnoteRef/>
      </w:r>
      <w:r w:rsidRPr="00F919ED">
        <w:rPr>
          <w:rFonts w:asciiTheme="majorHAnsi" w:hAnsiTheme="majorHAnsi" w:cs="Helvetica"/>
          <w:color w:val="262626"/>
          <w:sz w:val="18"/>
          <w:szCs w:val="18"/>
          <w:lang w:val="en-US"/>
        </w:rPr>
        <w:t>IVM is a rational decision-making process for the optimal use of resources for vector control. The approach seeks to improve the efficacy, cost-effectiveness, ecological soundness and sustainability of disease-vector control</w:t>
      </w:r>
      <w:r>
        <w:rPr>
          <w:rFonts w:asciiTheme="majorHAnsi" w:hAnsiTheme="majorHAnsi" w:cs="Helvetica"/>
          <w:color w:val="262626"/>
          <w:sz w:val="18"/>
          <w:szCs w:val="18"/>
          <w:lang w:val="en-US"/>
        </w:rPr>
        <w:t xml:space="preserve"> [</w:t>
      </w:r>
      <w:r w:rsidRPr="00910F4A">
        <w:rPr>
          <w:rFonts w:asciiTheme="majorHAnsi" w:hAnsiTheme="majorHAnsi" w:cs="Helvetica"/>
          <w:color w:val="262626"/>
          <w:sz w:val="18"/>
          <w:szCs w:val="18"/>
          <w:lang w:val="en-US"/>
        </w:rPr>
        <w:t>http://www.who.int/neglected_diseases/vector_ecology/ivm_concept/en/</w:t>
      </w:r>
      <w:r>
        <w:rPr>
          <w:rFonts w:asciiTheme="majorHAnsi" w:hAnsiTheme="majorHAnsi" w:cs="Helvetica"/>
          <w:color w:val="262626"/>
          <w:sz w:val="18"/>
          <w:szCs w:val="18"/>
          <w:lang w:val="en-US"/>
        </w:rPr>
        <w:t>]</w:t>
      </w:r>
      <w:r w:rsidRPr="00F919ED">
        <w:rPr>
          <w:rFonts w:asciiTheme="majorHAnsi" w:hAnsiTheme="majorHAnsi" w:cs="Helvetica"/>
          <w:color w:val="262626"/>
          <w:sz w:val="18"/>
          <w:szCs w:val="18"/>
          <w:lang w:val="en-US"/>
        </w:rPr>
        <w:t>.</w:t>
      </w:r>
    </w:p>
  </w:footnote>
  <w:footnote w:id="5">
    <w:p w:rsidR="009328F4" w:rsidRPr="00B54C8C" w:rsidRDefault="009328F4" w:rsidP="00340B08">
      <w:pPr>
        <w:pStyle w:val="FootnoteText"/>
        <w:rPr>
          <w:rFonts w:ascii="Arial" w:hAnsi="Arial" w:cs="Arial"/>
          <w:sz w:val="16"/>
          <w:szCs w:val="16"/>
        </w:rPr>
      </w:pPr>
      <w:r w:rsidRPr="00B54C8C">
        <w:rPr>
          <w:rStyle w:val="FootnoteReference"/>
          <w:rFonts w:ascii="Arial" w:hAnsi="Arial" w:cs="Arial"/>
          <w:sz w:val="16"/>
          <w:szCs w:val="16"/>
        </w:rPr>
        <w:footnoteRef/>
      </w:r>
      <w:r w:rsidRPr="00B54C8C">
        <w:rPr>
          <w:rFonts w:ascii="Arial" w:hAnsi="Arial" w:cs="Arial"/>
          <w:sz w:val="16"/>
          <w:szCs w:val="16"/>
        </w:rPr>
        <w:t xml:space="preserve"> Refer to the </w:t>
      </w:r>
      <w:hyperlink r:id="rId1" w:history="1">
        <w:r w:rsidRPr="00B54C8C">
          <w:rPr>
            <w:rStyle w:val="Hyperlink"/>
            <w:rFonts w:ascii="Arial" w:hAnsi="Arial" w:cs="Arial"/>
            <w:sz w:val="16"/>
            <w:szCs w:val="16"/>
          </w:rPr>
          <w:t>Global Fund 2017 Eligibility List</w:t>
        </w:r>
      </w:hyperlink>
      <w:r w:rsidRPr="00B54C8C">
        <w:rPr>
          <w:rFonts w:ascii="Arial" w:hAnsi="Arial" w:cs="Arial"/>
          <w:sz w:val="16"/>
          <w:szCs w:val="16"/>
        </w:rPr>
        <w:t>for income level</w:t>
      </w:r>
      <w:r w:rsidRPr="00B54C8C">
        <w:rPr>
          <w:rStyle w:val="Hyperlink"/>
          <w:rFonts w:ascii="Arial" w:hAnsi="Arial" w:cs="Arial"/>
          <w:sz w:val="16"/>
          <w:szCs w:val="16"/>
          <w:u w:val="none"/>
        </w:rPr>
        <w:t xml:space="preserve">. </w:t>
      </w:r>
      <w:r w:rsidRPr="00B54C8C">
        <w:rPr>
          <w:rFonts w:ascii="Arial" w:hAnsi="Arial" w:cs="Arial"/>
          <w:sz w:val="16"/>
          <w:szCs w:val="16"/>
        </w:rPr>
        <w:t xml:space="preserve">LMI and UMI countries have specific requirements in terms of the focus of applications as set forth in the Global Fund </w:t>
      </w:r>
      <w:hyperlink r:id="rId2" w:history="1">
        <w:r w:rsidRPr="00B54C8C">
          <w:rPr>
            <w:rStyle w:val="Hyperlink"/>
            <w:rFonts w:ascii="Arial" w:hAnsi="Arial" w:cs="Arial"/>
            <w:sz w:val="16"/>
            <w:szCs w:val="16"/>
          </w:rPr>
          <w:t>Sustainability, Transition and Co-Financing Policy</w:t>
        </w:r>
      </w:hyperlink>
      <w:r w:rsidRPr="00B54C8C">
        <w:rPr>
          <w:rFonts w:ascii="Arial" w:hAnsi="Arial" w:cs="Arial"/>
          <w:sz w:val="16"/>
          <w:szCs w:val="16"/>
        </w:rPr>
        <w:t>.</w:t>
      </w:r>
    </w:p>
  </w:footnote>
  <w:footnote w:id="6">
    <w:p w:rsidR="009328F4" w:rsidRPr="00B54C8C" w:rsidRDefault="009328F4" w:rsidP="00FC77AC">
      <w:pPr>
        <w:pStyle w:val="FootnoteText"/>
        <w:rPr>
          <w:rFonts w:ascii="Arial" w:hAnsi="Arial" w:cs="Arial"/>
          <w:sz w:val="16"/>
          <w:szCs w:val="16"/>
        </w:rPr>
      </w:pPr>
      <w:r w:rsidRPr="00B54C8C">
        <w:rPr>
          <w:rStyle w:val="FootnoteReference"/>
          <w:rFonts w:ascii="Arial" w:hAnsi="Arial" w:cs="Arial"/>
          <w:sz w:val="16"/>
          <w:szCs w:val="16"/>
        </w:rPr>
        <w:footnoteRef/>
      </w:r>
      <w:r w:rsidRPr="00B54C8C">
        <w:rPr>
          <w:rFonts w:ascii="Arial" w:hAnsi="Arial" w:cs="Arial"/>
          <w:sz w:val="16"/>
          <w:szCs w:val="16"/>
        </w:rPr>
        <w:t xml:space="preserve"> Refer to the </w:t>
      </w:r>
      <w:hyperlink r:id="rId3" w:history="1">
        <w:r w:rsidRPr="00B54C8C">
          <w:rPr>
            <w:rStyle w:val="Hyperlink"/>
            <w:rFonts w:ascii="Arial" w:hAnsi="Arial" w:cs="Arial"/>
            <w:sz w:val="16"/>
            <w:szCs w:val="16"/>
          </w:rPr>
          <w:t>Sustainability, Transition and Co-Financing Policy</w:t>
        </w:r>
      </w:hyperlink>
      <w:r w:rsidRPr="00B54C8C">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F4" w:rsidRPr="00CA7652" w:rsidRDefault="009328F4">
    <w:pPr>
      <w:pStyle w:val="Header"/>
      <w:rPr>
        <w:rFonts w:ascii="Arial" w:hAnsi="Arial" w:cs="Arial"/>
        <w:sz w:val="20"/>
        <w:szCs w:val="20"/>
      </w:rPr>
    </w:pPr>
  </w:p>
  <w:p w:rsidR="009328F4" w:rsidRPr="00CA7652" w:rsidRDefault="009328F4">
    <w:pP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73719D"/>
    <w:multiLevelType w:val="hybridMultilevel"/>
    <w:tmpl w:val="EBB86F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5F4F8A"/>
    <w:multiLevelType w:val="hybridMultilevel"/>
    <w:tmpl w:val="53A09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506D4"/>
    <w:multiLevelType w:val="hybridMultilevel"/>
    <w:tmpl w:val="6862EB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2775B"/>
    <w:multiLevelType w:val="multilevel"/>
    <w:tmpl w:val="E00CB532"/>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16F4C0B"/>
    <w:multiLevelType w:val="hybridMultilevel"/>
    <w:tmpl w:val="1C6A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F5470"/>
    <w:multiLevelType w:val="hybridMultilevel"/>
    <w:tmpl w:val="32403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446E94"/>
    <w:multiLevelType w:val="hybridMultilevel"/>
    <w:tmpl w:val="EBB86F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B02662"/>
    <w:multiLevelType w:val="hybridMultilevel"/>
    <w:tmpl w:val="77EAC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B05E22"/>
    <w:multiLevelType w:val="hybridMultilevel"/>
    <w:tmpl w:val="85163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1461F"/>
    <w:multiLevelType w:val="hybridMultilevel"/>
    <w:tmpl w:val="9AE23FEC"/>
    <w:lvl w:ilvl="0" w:tplc="B8A2A9AA">
      <w:start w:val="1"/>
      <w:numFmt w:val="bullet"/>
      <w:lvlText w:val="•"/>
      <w:lvlJc w:val="left"/>
      <w:pPr>
        <w:tabs>
          <w:tab w:val="num" w:pos="360"/>
        </w:tabs>
        <w:ind w:left="360" w:hanging="360"/>
      </w:pPr>
      <w:rPr>
        <w:rFonts w:ascii="Arial" w:hAnsi="Arial" w:hint="default"/>
      </w:rPr>
    </w:lvl>
    <w:lvl w:ilvl="1" w:tplc="6B22804A" w:tentative="1">
      <w:start w:val="1"/>
      <w:numFmt w:val="bullet"/>
      <w:lvlText w:val="•"/>
      <w:lvlJc w:val="left"/>
      <w:pPr>
        <w:tabs>
          <w:tab w:val="num" w:pos="1080"/>
        </w:tabs>
        <w:ind w:left="1080" w:hanging="360"/>
      </w:pPr>
      <w:rPr>
        <w:rFonts w:ascii="Arial" w:hAnsi="Arial" w:hint="default"/>
      </w:rPr>
    </w:lvl>
    <w:lvl w:ilvl="2" w:tplc="2014E020" w:tentative="1">
      <w:start w:val="1"/>
      <w:numFmt w:val="bullet"/>
      <w:lvlText w:val="•"/>
      <w:lvlJc w:val="left"/>
      <w:pPr>
        <w:tabs>
          <w:tab w:val="num" w:pos="1800"/>
        </w:tabs>
        <w:ind w:left="1800" w:hanging="360"/>
      </w:pPr>
      <w:rPr>
        <w:rFonts w:ascii="Arial" w:hAnsi="Arial" w:hint="default"/>
      </w:rPr>
    </w:lvl>
    <w:lvl w:ilvl="3" w:tplc="A96C24D0" w:tentative="1">
      <w:start w:val="1"/>
      <w:numFmt w:val="bullet"/>
      <w:lvlText w:val="•"/>
      <w:lvlJc w:val="left"/>
      <w:pPr>
        <w:tabs>
          <w:tab w:val="num" w:pos="2520"/>
        </w:tabs>
        <w:ind w:left="2520" w:hanging="360"/>
      </w:pPr>
      <w:rPr>
        <w:rFonts w:ascii="Arial" w:hAnsi="Arial" w:hint="default"/>
      </w:rPr>
    </w:lvl>
    <w:lvl w:ilvl="4" w:tplc="CB7CF7E2" w:tentative="1">
      <w:start w:val="1"/>
      <w:numFmt w:val="bullet"/>
      <w:lvlText w:val="•"/>
      <w:lvlJc w:val="left"/>
      <w:pPr>
        <w:tabs>
          <w:tab w:val="num" w:pos="3240"/>
        </w:tabs>
        <w:ind w:left="3240" w:hanging="360"/>
      </w:pPr>
      <w:rPr>
        <w:rFonts w:ascii="Arial" w:hAnsi="Arial" w:hint="default"/>
      </w:rPr>
    </w:lvl>
    <w:lvl w:ilvl="5" w:tplc="2C16A016" w:tentative="1">
      <w:start w:val="1"/>
      <w:numFmt w:val="bullet"/>
      <w:lvlText w:val="•"/>
      <w:lvlJc w:val="left"/>
      <w:pPr>
        <w:tabs>
          <w:tab w:val="num" w:pos="3960"/>
        </w:tabs>
        <w:ind w:left="3960" w:hanging="360"/>
      </w:pPr>
      <w:rPr>
        <w:rFonts w:ascii="Arial" w:hAnsi="Arial" w:hint="default"/>
      </w:rPr>
    </w:lvl>
    <w:lvl w:ilvl="6" w:tplc="0ACC8CE0" w:tentative="1">
      <w:start w:val="1"/>
      <w:numFmt w:val="bullet"/>
      <w:lvlText w:val="•"/>
      <w:lvlJc w:val="left"/>
      <w:pPr>
        <w:tabs>
          <w:tab w:val="num" w:pos="4680"/>
        </w:tabs>
        <w:ind w:left="4680" w:hanging="360"/>
      </w:pPr>
      <w:rPr>
        <w:rFonts w:ascii="Arial" w:hAnsi="Arial" w:hint="default"/>
      </w:rPr>
    </w:lvl>
    <w:lvl w:ilvl="7" w:tplc="D6C836FA" w:tentative="1">
      <w:start w:val="1"/>
      <w:numFmt w:val="bullet"/>
      <w:lvlText w:val="•"/>
      <w:lvlJc w:val="left"/>
      <w:pPr>
        <w:tabs>
          <w:tab w:val="num" w:pos="5400"/>
        </w:tabs>
        <w:ind w:left="5400" w:hanging="360"/>
      </w:pPr>
      <w:rPr>
        <w:rFonts w:ascii="Arial" w:hAnsi="Arial" w:hint="default"/>
      </w:rPr>
    </w:lvl>
    <w:lvl w:ilvl="8" w:tplc="8128598E" w:tentative="1">
      <w:start w:val="1"/>
      <w:numFmt w:val="bullet"/>
      <w:lvlText w:val="•"/>
      <w:lvlJc w:val="left"/>
      <w:pPr>
        <w:tabs>
          <w:tab w:val="num" w:pos="6120"/>
        </w:tabs>
        <w:ind w:left="6120" w:hanging="360"/>
      </w:pPr>
      <w:rPr>
        <w:rFonts w:ascii="Arial" w:hAnsi="Arial" w:hint="default"/>
      </w:rPr>
    </w:lvl>
  </w:abstractNum>
  <w:abstractNum w:abstractNumId="11">
    <w:nsid w:val="487E5F6C"/>
    <w:multiLevelType w:val="hybridMultilevel"/>
    <w:tmpl w:val="1FF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10D14"/>
    <w:multiLevelType w:val="multilevel"/>
    <w:tmpl w:val="E00CB532"/>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52F7263F"/>
    <w:multiLevelType w:val="hybridMultilevel"/>
    <w:tmpl w:val="14FA35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DA494F"/>
    <w:multiLevelType w:val="hybridMultilevel"/>
    <w:tmpl w:val="810E715C"/>
    <w:lvl w:ilvl="0" w:tplc="7ACEC0A6">
      <w:start w:val="1"/>
      <w:numFmt w:val="low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3F745F"/>
    <w:multiLevelType w:val="hybridMultilevel"/>
    <w:tmpl w:val="5518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D056C"/>
    <w:multiLevelType w:val="hybridMultilevel"/>
    <w:tmpl w:val="82128E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6355155"/>
    <w:multiLevelType w:val="hybridMultilevel"/>
    <w:tmpl w:val="C27A5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AB0089"/>
    <w:multiLevelType w:val="hybridMultilevel"/>
    <w:tmpl w:val="85163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C83EA8"/>
    <w:multiLevelType w:val="hybridMultilevel"/>
    <w:tmpl w:val="92AC6422"/>
    <w:lvl w:ilvl="0" w:tplc="BE962E7C">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F44F61"/>
    <w:multiLevelType w:val="hybridMultilevel"/>
    <w:tmpl w:val="FA40E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934F8B"/>
    <w:multiLevelType w:val="hybridMultilevel"/>
    <w:tmpl w:val="F6DE346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4"/>
  </w:num>
  <w:num w:numId="3">
    <w:abstractNumId w:val="19"/>
  </w:num>
  <w:num w:numId="4">
    <w:abstractNumId w:val="6"/>
  </w:num>
  <w:num w:numId="5">
    <w:abstractNumId w:val="8"/>
  </w:num>
  <w:num w:numId="6">
    <w:abstractNumId w:val="17"/>
  </w:num>
  <w:num w:numId="7">
    <w:abstractNumId w:val="20"/>
  </w:num>
  <w:num w:numId="8">
    <w:abstractNumId w:val="0"/>
  </w:num>
  <w:num w:numId="9">
    <w:abstractNumId w:val="2"/>
  </w:num>
  <w:num w:numId="10">
    <w:abstractNumId w:val="18"/>
  </w:num>
  <w:num w:numId="11">
    <w:abstractNumId w:val="10"/>
  </w:num>
  <w:num w:numId="12">
    <w:abstractNumId w:val="15"/>
  </w:num>
  <w:num w:numId="13">
    <w:abstractNumId w:val="9"/>
  </w:num>
  <w:num w:numId="14">
    <w:abstractNumId w:val="3"/>
  </w:num>
  <w:num w:numId="15">
    <w:abstractNumId w:val="5"/>
  </w:num>
  <w:num w:numId="16">
    <w:abstractNumId w:val="13"/>
  </w:num>
  <w:num w:numId="17">
    <w:abstractNumId w:val="11"/>
  </w:num>
  <w:num w:numId="18">
    <w:abstractNumId w:val="7"/>
  </w:num>
  <w:num w:numId="19">
    <w:abstractNumId w:val="21"/>
  </w:num>
  <w:num w:numId="20">
    <w:abstractNumId w:val="4"/>
  </w:num>
  <w:num w:numId="21">
    <w:abstractNumId w:val="16"/>
  </w:num>
  <w:num w:numId="22">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042DCA"/>
    <w:rsid w:val="00003D0A"/>
    <w:rsid w:val="0000536F"/>
    <w:rsid w:val="00005564"/>
    <w:rsid w:val="00005886"/>
    <w:rsid w:val="00005E61"/>
    <w:rsid w:val="000144A2"/>
    <w:rsid w:val="00023916"/>
    <w:rsid w:val="000247C9"/>
    <w:rsid w:val="00027F87"/>
    <w:rsid w:val="00037319"/>
    <w:rsid w:val="00042885"/>
    <w:rsid w:val="00042DCA"/>
    <w:rsid w:val="00050B8A"/>
    <w:rsid w:val="000575A3"/>
    <w:rsid w:val="00080E2D"/>
    <w:rsid w:val="00081B46"/>
    <w:rsid w:val="00096485"/>
    <w:rsid w:val="00096680"/>
    <w:rsid w:val="00096C3F"/>
    <w:rsid w:val="00097016"/>
    <w:rsid w:val="000A2F7B"/>
    <w:rsid w:val="000A35C7"/>
    <w:rsid w:val="000A459A"/>
    <w:rsid w:val="000B1104"/>
    <w:rsid w:val="000B1B34"/>
    <w:rsid w:val="000B6E6D"/>
    <w:rsid w:val="000C53D4"/>
    <w:rsid w:val="000D154F"/>
    <w:rsid w:val="001031F2"/>
    <w:rsid w:val="00115FCB"/>
    <w:rsid w:val="0011786E"/>
    <w:rsid w:val="00117BE3"/>
    <w:rsid w:val="00125775"/>
    <w:rsid w:val="001361C6"/>
    <w:rsid w:val="00140C49"/>
    <w:rsid w:val="00142F1D"/>
    <w:rsid w:val="00145639"/>
    <w:rsid w:val="00150FF8"/>
    <w:rsid w:val="001631BD"/>
    <w:rsid w:val="001753B4"/>
    <w:rsid w:val="00176011"/>
    <w:rsid w:val="001824E8"/>
    <w:rsid w:val="00182F8D"/>
    <w:rsid w:val="001848E0"/>
    <w:rsid w:val="00191825"/>
    <w:rsid w:val="00191EA3"/>
    <w:rsid w:val="001932A7"/>
    <w:rsid w:val="001A0847"/>
    <w:rsid w:val="001A08D0"/>
    <w:rsid w:val="001A38D3"/>
    <w:rsid w:val="001A49D8"/>
    <w:rsid w:val="001B0C39"/>
    <w:rsid w:val="001C281C"/>
    <w:rsid w:val="001C4565"/>
    <w:rsid w:val="001D57E5"/>
    <w:rsid w:val="001E1B6B"/>
    <w:rsid w:val="001E247E"/>
    <w:rsid w:val="001F0181"/>
    <w:rsid w:val="001F1016"/>
    <w:rsid w:val="001F2969"/>
    <w:rsid w:val="0020041F"/>
    <w:rsid w:val="002032B9"/>
    <w:rsid w:val="00215CCE"/>
    <w:rsid w:val="0021698C"/>
    <w:rsid w:val="002174A0"/>
    <w:rsid w:val="002235FA"/>
    <w:rsid w:val="00224085"/>
    <w:rsid w:val="00251009"/>
    <w:rsid w:val="00256EAA"/>
    <w:rsid w:val="0026571F"/>
    <w:rsid w:val="0028304C"/>
    <w:rsid w:val="002850E8"/>
    <w:rsid w:val="00287194"/>
    <w:rsid w:val="00295088"/>
    <w:rsid w:val="002A544B"/>
    <w:rsid w:val="002A741F"/>
    <w:rsid w:val="002C5DFD"/>
    <w:rsid w:val="002C6593"/>
    <w:rsid w:val="002D0C1F"/>
    <w:rsid w:val="002D14E1"/>
    <w:rsid w:val="002D19E8"/>
    <w:rsid w:val="002D5F29"/>
    <w:rsid w:val="002E6548"/>
    <w:rsid w:val="002F1457"/>
    <w:rsid w:val="003109F5"/>
    <w:rsid w:val="00311BE2"/>
    <w:rsid w:val="00322634"/>
    <w:rsid w:val="003237AE"/>
    <w:rsid w:val="00324900"/>
    <w:rsid w:val="00340B08"/>
    <w:rsid w:val="003457BF"/>
    <w:rsid w:val="003521F5"/>
    <w:rsid w:val="00357036"/>
    <w:rsid w:val="00366E9D"/>
    <w:rsid w:val="00372FB4"/>
    <w:rsid w:val="00374C37"/>
    <w:rsid w:val="00386FF7"/>
    <w:rsid w:val="00391109"/>
    <w:rsid w:val="00391DE8"/>
    <w:rsid w:val="003948DC"/>
    <w:rsid w:val="003952B6"/>
    <w:rsid w:val="003A3EFD"/>
    <w:rsid w:val="003A423B"/>
    <w:rsid w:val="003B1D3B"/>
    <w:rsid w:val="003C1A73"/>
    <w:rsid w:val="003D1B10"/>
    <w:rsid w:val="003D22AA"/>
    <w:rsid w:val="003E27D3"/>
    <w:rsid w:val="003E61E7"/>
    <w:rsid w:val="003F012C"/>
    <w:rsid w:val="003F0A9F"/>
    <w:rsid w:val="003F39C8"/>
    <w:rsid w:val="003F4392"/>
    <w:rsid w:val="003F5ACD"/>
    <w:rsid w:val="00401BF5"/>
    <w:rsid w:val="00401EBB"/>
    <w:rsid w:val="004040A5"/>
    <w:rsid w:val="004049E0"/>
    <w:rsid w:val="0041310D"/>
    <w:rsid w:val="00413A1E"/>
    <w:rsid w:val="00414985"/>
    <w:rsid w:val="0043346F"/>
    <w:rsid w:val="00451D34"/>
    <w:rsid w:val="00464686"/>
    <w:rsid w:val="004759B7"/>
    <w:rsid w:val="00485BE4"/>
    <w:rsid w:val="00485F5B"/>
    <w:rsid w:val="00494971"/>
    <w:rsid w:val="004A245A"/>
    <w:rsid w:val="004A376B"/>
    <w:rsid w:val="004C0526"/>
    <w:rsid w:val="004C6532"/>
    <w:rsid w:val="004F6A73"/>
    <w:rsid w:val="005106F8"/>
    <w:rsid w:val="00512F73"/>
    <w:rsid w:val="00513F8F"/>
    <w:rsid w:val="00521C69"/>
    <w:rsid w:val="00525BB0"/>
    <w:rsid w:val="005265DB"/>
    <w:rsid w:val="00527B3D"/>
    <w:rsid w:val="00536AE8"/>
    <w:rsid w:val="005421C9"/>
    <w:rsid w:val="005468D0"/>
    <w:rsid w:val="00553C44"/>
    <w:rsid w:val="005614E5"/>
    <w:rsid w:val="005638BC"/>
    <w:rsid w:val="00564B97"/>
    <w:rsid w:val="00581C6F"/>
    <w:rsid w:val="00584F71"/>
    <w:rsid w:val="00592296"/>
    <w:rsid w:val="00593530"/>
    <w:rsid w:val="00594899"/>
    <w:rsid w:val="005A3ED1"/>
    <w:rsid w:val="005A62F6"/>
    <w:rsid w:val="005A7B0C"/>
    <w:rsid w:val="005B5C71"/>
    <w:rsid w:val="005C4F27"/>
    <w:rsid w:val="005D36CC"/>
    <w:rsid w:val="005D4EE2"/>
    <w:rsid w:val="005E06FB"/>
    <w:rsid w:val="0060281F"/>
    <w:rsid w:val="00634C4A"/>
    <w:rsid w:val="006448A4"/>
    <w:rsid w:val="0065486D"/>
    <w:rsid w:val="00665B08"/>
    <w:rsid w:val="00673121"/>
    <w:rsid w:val="0067435D"/>
    <w:rsid w:val="00684013"/>
    <w:rsid w:val="00691D11"/>
    <w:rsid w:val="00691DB4"/>
    <w:rsid w:val="00693915"/>
    <w:rsid w:val="006B05C8"/>
    <w:rsid w:val="006B1AFA"/>
    <w:rsid w:val="006B59C9"/>
    <w:rsid w:val="006B7572"/>
    <w:rsid w:val="006C093E"/>
    <w:rsid w:val="006C0AFC"/>
    <w:rsid w:val="006D018B"/>
    <w:rsid w:val="006D204B"/>
    <w:rsid w:val="006E048B"/>
    <w:rsid w:val="006E52A7"/>
    <w:rsid w:val="006E5CE2"/>
    <w:rsid w:val="006F1AF5"/>
    <w:rsid w:val="006F48C6"/>
    <w:rsid w:val="00710613"/>
    <w:rsid w:val="0071125C"/>
    <w:rsid w:val="007139E1"/>
    <w:rsid w:val="007201CD"/>
    <w:rsid w:val="007205D8"/>
    <w:rsid w:val="00720A0D"/>
    <w:rsid w:val="0072776E"/>
    <w:rsid w:val="007278D6"/>
    <w:rsid w:val="00736527"/>
    <w:rsid w:val="00736AC4"/>
    <w:rsid w:val="007410BE"/>
    <w:rsid w:val="00741C35"/>
    <w:rsid w:val="0074306D"/>
    <w:rsid w:val="00745390"/>
    <w:rsid w:val="00760AC9"/>
    <w:rsid w:val="00761057"/>
    <w:rsid w:val="00766F20"/>
    <w:rsid w:val="00776CB0"/>
    <w:rsid w:val="00780A36"/>
    <w:rsid w:val="00784569"/>
    <w:rsid w:val="007A704C"/>
    <w:rsid w:val="007B0904"/>
    <w:rsid w:val="007B13AE"/>
    <w:rsid w:val="007B548A"/>
    <w:rsid w:val="007C2AC9"/>
    <w:rsid w:val="007C4088"/>
    <w:rsid w:val="007C73E3"/>
    <w:rsid w:val="007D3237"/>
    <w:rsid w:val="007D5A44"/>
    <w:rsid w:val="007F354D"/>
    <w:rsid w:val="00804912"/>
    <w:rsid w:val="00805553"/>
    <w:rsid w:val="00805576"/>
    <w:rsid w:val="00805B73"/>
    <w:rsid w:val="00805F0F"/>
    <w:rsid w:val="00813498"/>
    <w:rsid w:val="00813540"/>
    <w:rsid w:val="00817B52"/>
    <w:rsid w:val="00827D4F"/>
    <w:rsid w:val="00827D9E"/>
    <w:rsid w:val="00831725"/>
    <w:rsid w:val="00832DBA"/>
    <w:rsid w:val="0083321F"/>
    <w:rsid w:val="00833F25"/>
    <w:rsid w:val="00840212"/>
    <w:rsid w:val="00840A86"/>
    <w:rsid w:val="00850028"/>
    <w:rsid w:val="008547FF"/>
    <w:rsid w:val="00863FF8"/>
    <w:rsid w:val="008709A5"/>
    <w:rsid w:val="00870F49"/>
    <w:rsid w:val="008718A5"/>
    <w:rsid w:val="00876F4E"/>
    <w:rsid w:val="0087790E"/>
    <w:rsid w:val="0089189F"/>
    <w:rsid w:val="008945F5"/>
    <w:rsid w:val="0089492B"/>
    <w:rsid w:val="008A204A"/>
    <w:rsid w:val="008A4525"/>
    <w:rsid w:val="008A5BB7"/>
    <w:rsid w:val="008B77B1"/>
    <w:rsid w:val="008C21C9"/>
    <w:rsid w:val="008C6C43"/>
    <w:rsid w:val="008D0C73"/>
    <w:rsid w:val="008D7F0E"/>
    <w:rsid w:val="008F0B4F"/>
    <w:rsid w:val="008F6939"/>
    <w:rsid w:val="009001EF"/>
    <w:rsid w:val="00931061"/>
    <w:rsid w:val="009315CA"/>
    <w:rsid w:val="00931EBA"/>
    <w:rsid w:val="009328F4"/>
    <w:rsid w:val="0094789B"/>
    <w:rsid w:val="00956E02"/>
    <w:rsid w:val="00957774"/>
    <w:rsid w:val="00960F00"/>
    <w:rsid w:val="00961690"/>
    <w:rsid w:val="00972638"/>
    <w:rsid w:val="009759E9"/>
    <w:rsid w:val="00977EA5"/>
    <w:rsid w:val="00986231"/>
    <w:rsid w:val="00996FDF"/>
    <w:rsid w:val="00997C31"/>
    <w:rsid w:val="009A1EA5"/>
    <w:rsid w:val="009A251C"/>
    <w:rsid w:val="009A5066"/>
    <w:rsid w:val="009A585A"/>
    <w:rsid w:val="009A736D"/>
    <w:rsid w:val="009B2750"/>
    <w:rsid w:val="009C07B0"/>
    <w:rsid w:val="009C6305"/>
    <w:rsid w:val="009C676C"/>
    <w:rsid w:val="009D2167"/>
    <w:rsid w:val="009D78BE"/>
    <w:rsid w:val="009E1508"/>
    <w:rsid w:val="009F54F1"/>
    <w:rsid w:val="00A007BD"/>
    <w:rsid w:val="00A00AE8"/>
    <w:rsid w:val="00A02D0B"/>
    <w:rsid w:val="00A12210"/>
    <w:rsid w:val="00A22A4A"/>
    <w:rsid w:val="00A33E18"/>
    <w:rsid w:val="00A342C2"/>
    <w:rsid w:val="00A44778"/>
    <w:rsid w:val="00A45E53"/>
    <w:rsid w:val="00A47305"/>
    <w:rsid w:val="00A5131D"/>
    <w:rsid w:val="00A600FA"/>
    <w:rsid w:val="00A623CF"/>
    <w:rsid w:val="00A626A3"/>
    <w:rsid w:val="00A63136"/>
    <w:rsid w:val="00A645E5"/>
    <w:rsid w:val="00A676C4"/>
    <w:rsid w:val="00A82913"/>
    <w:rsid w:val="00A82F44"/>
    <w:rsid w:val="00A8340A"/>
    <w:rsid w:val="00A86AB5"/>
    <w:rsid w:val="00A87097"/>
    <w:rsid w:val="00A90312"/>
    <w:rsid w:val="00A94DDE"/>
    <w:rsid w:val="00A9750F"/>
    <w:rsid w:val="00AA2A8D"/>
    <w:rsid w:val="00AB1D3B"/>
    <w:rsid w:val="00AB2EE4"/>
    <w:rsid w:val="00AB3764"/>
    <w:rsid w:val="00AB7317"/>
    <w:rsid w:val="00AB7915"/>
    <w:rsid w:val="00AC37AE"/>
    <w:rsid w:val="00AE383D"/>
    <w:rsid w:val="00B0524E"/>
    <w:rsid w:val="00B06168"/>
    <w:rsid w:val="00B156C1"/>
    <w:rsid w:val="00B2556B"/>
    <w:rsid w:val="00B4454B"/>
    <w:rsid w:val="00B50C6D"/>
    <w:rsid w:val="00B54C8C"/>
    <w:rsid w:val="00B555E1"/>
    <w:rsid w:val="00B615C5"/>
    <w:rsid w:val="00B63EFC"/>
    <w:rsid w:val="00B70FCB"/>
    <w:rsid w:val="00B71136"/>
    <w:rsid w:val="00B72573"/>
    <w:rsid w:val="00B7710C"/>
    <w:rsid w:val="00B77A75"/>
    <w:rsid w:val="00B81CA0"/>
    <w:rsid w:val="00B825BB"/>
    <w:rsid w:val="00B91298"/>
    <w:rsid w:val="00BA1C3D"/>
    <w:rsid w:val="00BA7910"/>
    <w:rsid w:val="00BB109D"/>
    <w:rsid w:val="00BB21B6"/>
    <w:rsid w:val="00BB3531"/>
    <w:rsid w:val="00BB6154"/>
    <w:rsid w:val="00BD022B"/>
    <w:rsid w:val="00BD0A83"/>
    <w:rsid w:val="00BD20A6"/>
    <w:rsid w:val="00BD3DEF"/>
    <w:rsid w:val="00BF03CB"/>
    <w:rsid w:val="00BF7886"/>
    <w:rsid w:val="00C00258"/>
    <w:rsid w:val="00C106F2"/>
    <w:rsid w:val="00C132E8"/>
    <w:rsid w:val="00C339E0"/>
    <w:rsid w:val="00C348D3"/>
    <w:rsid w:val="00C402A4"/>
    <w:rsid w:val="00C43F4F"/>
    <w:rsid w:val="00C579FB"/>
    <w:rsid w:val="00C61560"/>
    <w:rsid w:val="00C63FDB"/>
    <w:rsid w:val="00C64C48"/>
    <w:rsid w:val="00C717A3"/>
    <w:rsid w:val="00C77493"/>
    <w:rsid w:val="00C91073"/>
    <w:rsid w:val="00C932D1"/>
    <w:rsid w:val="00C941FB"/>
    <w:rsid w:val="00CA7652"/>
    <w:rsid w:val="00CB049F"/>
    <w:rsid w:val="00CB09DC"/>
    <w:rsid w:val="00CB18B1"/>
    <w:rsid w:val="00CC0842"/>
    <w:rsid w:val="00CC67DA"/>
    <w:rsid w:val="00CD6100"/>
    <w:rsid w:val="00CD6133"/>
    <w:rsid w:val="00CE23D1"/>
    <w:rsid w:val="00CE34DE"/>
    <w:rsid w:val="00CF08AE"/>
    <w:rsid w:val="00CF0AF8"/>
    <w:rsid w:val="00CF2B9E"/>
    <w:rsid w:val="00CF2F26"/>
    <w:rsid w:val="00D00953"/>
    <w:rsid w:val="00D10B89"/>
    <w:rsid w:val="00D1282F"/>
    <w:rsid w:val="00D15245"/>
    <w:rsid w:val="00D21FFB"/>
    <w:rsid w:val="00D31191"/>
    <w:rsid w:val="00D31FA7"/>
    <w:rsid w:val="00D516AB"/>
    <w:rsid w:val="00D51B37"/>
    <w:rsid w:val="00D80E39"/>
    <w:rsid w:val="00D84417"/>
    <w:rsid w:val="00D84739"/>
    <w:rsid w:val="00D9024F"/>
    <w:rsid w:val="00D94B25"/>
    <w:rsid w:val="00DA4F94"/>
    <w:rsid w:val="00DA6020"/>
    <w:rsid w:val="00DB5CCC"/>
    <w:rsid w:val="00DC18AD"/>
    <w:rsid w:val="00DD5B65"/>
    <w:rsid w:val="00DE7524"/>
    <w:rsid w:val="00DE7BFA"/>
    <w:rsid w:val="00DF1CDD"/>
    <w:rsid w:val="00DF4AA1"/>
    <w:rsid w:val="00E1238C"/>
    <w:rsid w:val="00E12AC8"/>
    <w:rsid w:val="00E16725"/>
    <w:rsid w:val="00E238EA"/>
    <w:rsid w:val="00E32C66"/>
    <w:rsid w:val="00E33ACE"/>
    <w:rsid w:val="00E43D32"/>
    <w:rsid w:val="00E44728"/>
    <w:rsid w:val="00E4702C"/>
    <w:rsid w:val="00E47103"/>
    <w:rsid w:val="00E72226"/>
    <w:rsid w:val="00E72482"/>
    <w:rsid w:val="00E73BE1"/>
    <w:rsid w:val="00E77C53"/>
    <w:rsid w:val="00E807AC"/>
    <w:rsid w:val="00E90F42"/>
    <w:rsid w:val="00E93BBE"/>
    <w:rsid w:val="00E93FA7"/>
    <w:rsid w:val="00EA4090"/>
    <w:rsid w:val="00EA5D65"/>
    <w:rsid w:val="00EA72A0"/>
    <w:rsid w:val="00EB1F7B"/>
    <w:rsid w:val="00EB3B08"/>
    <w:rsid w:val="00EB50E4"/>
    <w:rsid w:val="00EC22B0"/>
    <w:rsid w:val="00EC6194"/>
    <w:rsid w:val="00EC674A"/>
    <w:rsid w:val="00EE0EC6"/>
    <w:rsid w:val="00EF32A7"/>
    <w:rsid w:val="00EF5244"/>
    <w:rsid w:val="00EF6E79"/>
    <w:rsid w:val="00F0177D"/>
    <w:rsid w:val="00F04A4C"/>
    <w:rsid w:val="00F152B5"/>
    <w:rsid w:val="00F1711C"/>
    <w:rsid w:val="00F3153E"/>
    <w:rsid w:val="00F34AE3"/>
    <w:rsid w:val="00F37F84"/>
    <w:rsid w:val="00F40BB3"/>
    <w:rsid w:val="00F449EE"/>
    <w:rsid w:val="00F503E3"/>
    <w:rsid w:val="00F57EBD"/>
    <w:rsid w:val="00F610F3"/>
    <w:rsid w:val="00F6169B"/>
    <w:rsid w:val="00F62F0E"/>
    <w:rsid w:val="00F67923"/>
    <w:rsid w:val="00F76AD3"/>
    <w:rsid w:val="00F927A6"/>
    <w:rsid w:val="00FA0DAF"/>
    <w:rsid w:val="00FA3434"/>
    <w:rsid w:val="00FB22F6"/>
    <w:rsid w:val="00FB2411"/>
    <w:rsid w:val="00FB3B61"/>
    <w:rsid w:val="00FC2534"/>
    <w:rsid w:val="00FC77AC"/>
    <w:rsid w:val="00FD2B19"/>
    <w:rsid w:val="00FD5719"/>
    <w:rsid w:val="00FE41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E2D"/>
    <w:rPr>
      <w:rFonts w:ascii="Georgia" w:hAnsi="Georgia"/>
    </w:rPr>
  </w:style>
  <w:style w:type="paragraph" w:styleId="Heading1">
    <w:name w:val="heading 1"/>
    <w:basedOn w:val="Normal"/>
    <w:next w:val="Normal"/>
    <w:link w:val="Heading1Char"/>
    <w:uiPriority w:val="9"/>
    <w:qFormat/>
    <w:rsid w:val="00E93FA7"/>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E93FA7"/>
    <w:pPr>
      <w:keepNext/>
      <w:keepLines/>
      <w:spacing w:before="200" w:after="0" w:line="240" w:lineRule="auto"/>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unhideWhenUsed/>
    <w:qFormat/>
    <w:rsid w:val="00E93FA7"/>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uiPriority w:val="9"/>
    <w:unhideWhenUsed/>
    <w:qFormat/>
    <w:rsid w:val="00E93FA7"/>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rPr>
  </w:style>
  <w:style w:type="paragraph" w:styleId="Heading5">
    <w:name w:val="heading 5"/>
    <w:basedOn w:val="Normal"/>
    <w:next w:val="Normal"/>
    <w:link w:val="Heading5Char"/>
    <w:uiPriority w:val="9"/>
    <w:unhideWhenUsed/>
    <w:qFormat/>
    <w:rsid w:val="00E93FA7"/>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rPr>
  </w:style>
  <w:style w:type="paragraph" w:styleId="Heading6">
    <w:name w:val="heading 6"/>
    <w:basedOn w:val="Normal"/>
    <w:link w:val="Heading6Char"/>
    <w:uiPriority w:val="1"/>
    <w:qFormat/>
    <w:rsid w:val="00E93FA7"/>
    <w:pPr>
      <w:widowControl w:val="0"/>
      <w:spacing w:after="0" w:line="240" w:lineRule="auto"/>
      <w:ind w:left="118"/>
      <w:outlineLvl w:val="5"/>
    </w:pPr>
    <w:rPr>
      <w:rFonts w:ascii="Calibri" w:eastAsia="Calibri" w:hAnsi="Calibri"/>
      <w:b/>
      <w:bCs/>
      <w:sz w:val="26"/>
      <w:szCs w:val="26"/>
      <w:lang w:val="en-US"/>
    </w:rPr>
  </w:style>
  <w:style w:type="paragraph" w:styleId="Heading7">
    <w:name w:val="heading 7"/>
    <w:basedOn w:val="Normal"/>
    <w:link w:val="Heading7Char"/>
    <w:uiPriority w:val="1"/>
    <w:qFormat/>
    <w:rsid w:val="00E93FA7"/>
    <w:pPr>
      <w:widowControl w:val="0"/>
      <w:spacing w:after="0" w:line="240" w:lineRule="auto"/>
      <w:ind w:left="117"/>
      <w:outlineLvl w:val="6"/>
    </w:pPr>
    <w:rPr>
      <w:rFonts w:ascii="Calibri" w:eastAsia="Calibri" w:hAnsi="Calibri"/>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FA7"/>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E93FA7"/>
    <w:rPr>
      <w:rFonts w:asciiTheme="majorHAnsi" w:eastAsiaTheme="majorEastAsia" w:hAnsiTheme="majorHAnsi" w:cstheme="majorBidi"/>
      <w:b/>
      <w:bCs/>
    </w:rPr>
  </w:style>
  <w:style w:type="character" w:customStyle="1" w:styleId="Heading3Char">
    <w:name w:val="Heading 3 Char"/>
    <w:basedOn w:val="DefaultParagraphFont"/>
    <w:link w:val="Heading3"/>
    <w:uiPriority w:val="9"/>
    <w:rsid w:val="00E93FA7"/>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E93FA7"/>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E93FA7"/>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1"/>
    <w:rsid w:val="00E93FA7"/>
    <w:rPr>
      <w:rFonts w:ascii="Calibri" w:eastAsia="Calibri" w:hAnsi="Calibri"/>
      <w:b/>
      <w:bCs/>
      <w:sz w:val="26"/>
      <w:szCs w:val="26"/>
      <w:lang w:val="en-US"/>
    </w:rPr>
  </w:style>
  <w:style w:type="character" w:customStyle="1" w:styleId="Heading7Char">
    <w:name w:val="Heading 7 Char"/>
    <w:basedOn w:val="DefaultParagraphFont"/>
    <w:link w:val="Heading7"/>
    <w:uiPriority w:val="1"/>
    <w:rsid w:val="00E93FA7"/>
    <w:rPr>
      <w:rFonts w:ascii="Calibri" w:eastAsia="Calibri" w:hAnsi="Calibri"/>
      <w:sz w:val="26"/>
      <w:szCs w:val="26"/>
      <w:lang w:val="en-US"/>
    </w:rPr>
  </w:style>
  <w:style w:type="table" w:styleId="TableGrid">
    <w:name w:val="Table Grid"/>
    <w:basedOn w:val="TableNormal"/>
    <w:uiPriority w:val="39"/>
    <w:rsid w:val="00042DCA"/>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iPriority w:val="99"/>
    <w:unhideWhenUsed/>
    <w:rsid w:val="00042DCA"/>
    <w:pPr>
      <w:spacing w:after="0" w:line="240" w:lineRule="auto"/>
    </w:pPr>
    <w:rPr>
      <w:sz w:val="20"/>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042DCA"/>
    <w:rPr>
      <w:sz w:val="20"/>
      <w:szCs w:val="20"/>
    </w:rPr>
  </w:style>
  <w:style w:type="character" w:styleId="FootnoteReference">
    <w:name w:val="footnote reference"/>
    <w:aliases w:val="ftref"/>
    <w:basedOn w:val="DefaultParagraphFont"/>
    <w:uiPriority w:val="99"/>
    <w:rsid w:val="00042DCA"/>
    <w:rPr>
      <w:rFonts w:cs="Times New Roman"/>
      <w:vertAlign w:val="superscript"/>
    </w:rPr>
  </w:style>
  <w:style w:type="character" w:styleId="Hyperlink">
    <w:name w:val="Hyperlink"/>
    <w:basedOn w:val="DefaultParagraphFont"/>
    <w:uiPriority w:val="99"/>
    <w:rsid w:val="005A62F6"/>
    <w:rPr>
      <w:rFonts w:cs="Times New Roman"/>
      <w:color w:val="0000FF"/>
      <w:u w:val="single"/>
    </w:rPr>
  </w:style>
  <w:style w:type="table" w:customStyle="1" w:styleId="TableGrid1">
    <w:name w:val="Table Grid1"/>
    <w:basedOn w:val="TableNormal"/>
    <w:next w:val="TableGrid"/>
    <w:uiPriority w:val="59"/>
    <w:rsid w:val="00215CCE"/>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15CCE"/>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5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CCE"/>
  </w:style>
  <w:style w:type="paragraph" w:styleId="Footer">
    <w:name w:val="footer"/>
    <w:basedOn w:val="Normal"/>
    <w:link w:val="FooterChar"/>
    <w:uiPriority w:val="99"/>
    <w:unhideWhenUsed/>
    <w:rsid w:val="00215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CCE"/>
  </w:style>
  <w:style w:type="paragraph" w:styleId="ListParagraph">
    <w:name w:val="List Paragraph"/>
    <w:aliases w:val="List Paragraph2,List Paragraph1,Recommendation,List Paragraph11,Dot pt,F5 List Paragraph,No Spacing1,List Paragraph Char Char Char,Indicator Text,Numbered Para 1,Bullet 1,List Paragraph12,Bullet Points,MAIN CONTENT"/>
    <w:basedOn w:val="Normal"/>
    <w:link w:val="ListParagraphChar"/>
    <w:uiPriority w:val="34"/>
    <w:qFormat/>
    <w:rsid w:val="00B2556B"/>
    <w:pPr>
      <w:ind w:left="720"/>
      <w:contextualSpacing/>
    </w:pPr>
  </w:style>
  <w:style w:type="character" w:customStyle="1" w:styleId="ListParagraphChar">
    <w:name w:val="List Paragraph Char"/>
    <w:aliases w:val="List Paragraph2 Char,List Paragraph1 Char,Recommendation Char,List Paragraph11 Char,Dot pt Char,F5 List Paragraph Char,No Spacing1 Char,List Paragraph Char Char Char Char,Indicator Text Char,Numbered Para 1 Char,Bullet 1 Char"/>
    <w:basedOn w:val="DefaultParagraphFont"/>
    <w:link w:val="ListParagraph"/>
    <w:uiPriority w:val="34"/>
    <w:qFormat/>
    <w:locked/>
    <w:rsid w:val="00F37F84"/>
    <w:rPr>
      <w:rFonts w:ascii="Georgia" w:hAnsi="Georgia"/>
    </w:rPr>
  </w:style>
  <w:style w:type="character" w:styleId="CommentReference">
    <w:name w:val="annotation reference"/>
    <w:basedOn w:val="DefaultParagraphFont"/>
    <w:uiPriority w:val="99"/>
    <w:rsid w:val="003E61E7"/>
    <w:rPr>
      <w:rFonts w:cs="Times New Roman"/>
      <w:sz w:val="16"/>
      <w:szCs w:val="16"/>
    </w:rPr>
  </w:style>
  <w:style w:type="paragraph" w:styleId="CommentText">
    <w:name w:val="annotation text"/>
    <w:basedOn w:val="Normal"/>
    <w:link w:val="CommentTextChar"/>
    <w:uiPriority w:val="99"/>
    <w:rsid w:val="003E61E7"/>
    <w:pPr>
      <w:spacing w:after="200" w:line="240" w:lineRule="auto"/>
    </w:pPr>
    <w:rPr>
      <w:rFonts w:eastAsia="Calibri" w:cs="Arial"/>
      <w:b/>
      <w:sz w:val="20"/>
      <w:szCs w:val="20"/>
      <w:lang w:val="en-US"/>
    </w:rPr>
  </w:style>
  <w:style w:type="character" w:customStyle="1" w:styleId="CommentTextChar">
    <w:name w:val="Comment Text Char"/>
    <w:basedOn w:val="DefaultParagraphFont"/>
    <w:link w:val="CommentText"/>
    <w:uiPriority w:val="99"/>
    <w:rsid w:val="003E61E7"/>
    <w:rPr>
      <w:rFonts w:ascii="Georgia" w:eastAsia="Calibri" w:hAnsi="Georgia" w:cs="Arial"/>
      <w:b/>
      <w:sz w:val="20"/>
      <w:szCs w:val="20"/>
      <w:lang w:val="en-US"/>
    </w:rPr>
  </w:style>
  <w:style w:type="paragraph" w:styleId="BalloonText">
    <w:name w:val="Balloon Text"/>
    <w:basedOn w:val="Normal"/>
    <w:link w:val="BalloonTextChar"/>
    <w:uiPriority w:val="99"/>
    <w:semiHidden/>
    <w:unhideWhenUsed/>
    <w:rsid w:val="003E6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49EE"/>
    <w:pPr>
      <w:spacing w:after="160"/>
    </w:pPr>
    <w:rPr>
      <w:rFonts w:asciiTheme="minorHAnsi" w:eastAsiaTheme="minorHAnsi" w:hAnsiTheme="minorHAnsi" w:cstheme="minorBidi"/>
      <w:bCs/>
      <w:lang w:val="en-GB"/>
    </w:rPr>
  </w:style>
  <w:style w:type="character" w:customStyle="1" w:styleId="CommentSubjectChar">
    <w:name w:val="Comment Subject Char"/>
    <w:basedOn w:val="CommentTextChar"/>
    <w:link w:val="CommentSubject"/>
    <w:uiPriority w:val="99"/>
    <w:semiHidden/>
    <w:rsid w:val="00F449EE"/>
    <w:rPr>
      <w:rFonts w:ascii="Georgia" w:eastAsia="Calibri" w:hAnsi="Georgia" w:cs="Arial"/>
      <w:b/>
      <w:bCs/>
      <w:sz w:val="20"/>
      <w:szCs w:val="20"/>
      <w:lang w:val="en-US"/>
    </w:rPr>
  </w:style>
  <w:style w:type="character" w:styleId="FollowedHyperlink">
    <w:name w:val="FollowedHyperlink"/>
    <w:basedOn w:val="DefaultParagraphFont"/>
    <w:uiPriority w:val="99"/>
    <w:semiHidden/>
    <w:unhideWhenUsed/>
    <w:rsid w:val="001A0847"/>
    <w:rPr>
      <w:color w:val="954F72" w:themeColor="followedHyperlink"/>
      <w:u w:val="single"/>
    </w:r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
    <w:basedOn w:val="DefaultParagraphFont"/>
    <w:uiPriority w:val="99"/>
    <w:semiHidden/>
    <w:locked/>
    <w:rsid w:val="00D31191"/>
    <w:rPr>
      <w:rFonts w:ascii="Arial" w:eastAsia="SimSun" w:hAnsi="Arial" w:cs="Times New Roman"/>
      <w:sz w:val="20"/>
      <w:szCs w:val="20"/>
      <w:lang w:val="en-US" w:eastAsia="zh-CN"/>
    </w:rPr>
  </w:style>
  <w:style w:type="paragraph" w:customStyle="1" w:styleId="TableParagraph">
    <w:name w:val="Table Paragraph"/>
    <w:basedOn w:val="Normal"/>
    <w:uiPriority w:val="1"/>
    <w:qFormat/>
    <w:rsid w:val="00E93FA7"/>
    <w:pPr>
      <w:widowControl w:val="0"/>
      <w:spacing w:after="0" w:line="240" w:lineRule="auto"/>
    </w:pPr>
    <w:rPr>
      <w:rFonts w:asciiTheme="minorHAnsi" w:hAnsiTheme="minorHAnsi"/>
      <w:lang w:val="en-US"/>
    </w:rPr>
  </w:style>
  <w:style w:type="character" w:styleId="Emphasis">
    <w:name w:val="Emphasis"/>
    <w:basedOn w:val="DefaultParagraphFont"/>
    <w:uiPriority w:val="99"/>
    <w:qFormat/>
    <w:rsid w:val="00E93FA7"/>
    <w:rPr>
      <w:i/>
      <w:iCs/>
    </w:rPr>
  </w:style>
  <w:style w:type="paragraph" w:styleId="BodyText">
    <w:name w:val="Body Text"/>
    <w:basedOn w:val="Normal"/>
    <w:link w:val="BodyTextChar"/>
    <w:uiPriority w:val="99"/>
    <w:unhideWhenUsed/>
    <w:rsid w:val="00E93FA7"/>
    <w:pPr>
      <w:spacing w:after="120" w:line="240" w:lineRule="auto"/>
    </w:pPr>
    <w:rPr>
      <w:rFonts w:asciiTheme="minorHAnsi" w:eastAsiaTheme="minorEastAsia" w:hAnsiTheme="minorHAnsi"/>
      <w:sz w:val="24"/>
      <w:szCs w:val="24"/>
    </w:rPr>
  </w:style>
  <w:style w:type="character" w:customStyle="1" w:styleId="BodyTextChar">
    <w:name w:val="Body Text Char"/>
    <w:basedOn w:val="DefaultParagraphFont"/>
    <w:link w:val="BodyText"/>
    <w:uiPriority w:val="99"/>
    <w:rsid w:val="00E93FA7"/>
    <w:rPr>
      <w:rFonts w:eastAsiaTheme="minorEastAsia"/>
      <w:sz w:val="24"/>
      <w:szCs w:val="24"/>
    </w:rPr>
  </w:style>
  <w:style w:type="paragraph" w:customStyle="1" w:styleId="h">
    <w:name w:val="h"/>
    <w:basedOn w:val="Normal"/>
    <w:rsid w:val="00E93FA7"/>
    <w:pPr>
      <w:spacing w:after="120" w:line="240" w:lineRule="auto"/>
    </w:pPr>
    <w:rPr>
      <w:rFonts w:asciiTheme="majorHAnsi" w:eastAsiaTheme="minorEastAsia" w:hAnsiTheme="majorHAnsi"/>
      <w:b/>
    </w:rPr>
  </w:style>
  <w:style w:type="paragraph" w:styleId="TOC1">
    <w:name w:val="toc 1"/>
    <w:basedOn w:val="Normal"/>
    <w:next w:val="Normal"/>
    <w:autoRedefine/>
    <w:uiPriority w:val="39"/>
    <w:unhideWhenUsed/>
    <w:rsid w:val="00E93FA7"/>
    <w:pPr>
      <w:spacing w:before="120" w:after="0" w:line="240" w:lineRule="auto"/>
    </w:pPr>
    <w:rPr>
      <w:rFonts w:asciiTheme="minorHAnsi" w:eastAsiaTheme="minorEastAsia" w:hAnsiTheme="minorHAnsi"/>
      <w:b/>
      <w:sz w:val="24"/>
      <w:szCs w:val="24"/>
    </w:rPr>
  </w:style>
  <w:style w:type="paragraph" w:styleId="TOC2">
    <w:name w:val="toc 2"/>
    <w:basedOn w:val="Normal"/>
    <w:next w:val="Normal"/>
    <w:autoRedefine/>
    <w:uiPriority w:val="39"/>
    <w:unhideWhenUsed/>
    <w:rsid w:val="00E93FA7"/>
    <w:pPr>
      <w:spacing w:after="0" w:line="240" w:lineRule="auto"/>
      <w:ind w:left="240"/>
    </w:pPr>
    <w:rPr>
      <w:rFonts w:asciiTheme="minorHAnsi" w:eastAsiaTheme="minorEastAsia" w:hAnsiTheme="minorHAnsi"/>
      <w:b/>
    </w:rPr>
  </w:style>
  <w:style w:type="paragraph" w:styleId="TOC3">
    <w:name w:val="toc 3"/>
    <w:basedOn w:val="Normal"/>
    <w:next w:val="Normal"/>
    <w:autoRedefine/>
    <w:uiPriority w:val="39"/>
    <w:unhideWhenUsed/>
    <w:rsid w:val="00E93FA7"/>
    <w:pPr>
      <w:spacing w:after="0" w:line="240" w:lineRule="auto"/>
      <w:ind w:left="480"/>
    </w:pPr>
    <w:rPr>
      <w:rFonts w:asciiTheme="minorHAnsi" w:eastAsiaTheme="minorEastAsia" w:hAnsiTheme="minorHAnsi"/>
    </w:rPr>
  </w:style>
  <w:style w:type="paragraph" w:styleId="TOC4">
    <w:name w:val="toc 4"/>
    <w:basedOn w:val="Normal"/>
    <w:next w:val="Normal"/>
    <w:autoRedefine/>
    <w:uiPriority w:val="39"/>
    <w:unhideWhenUsed/>
    <w:rsid w:val="00E93FA7"/>
    <w:pPr>
      <w:spacing w:after="0" w:line="240" w:lineRule="auto"/>
      <w:ind w:left="720"/>
    </w:pPr>
    <w:rPr>
      <w:rFonts w:asciiTheme="minorHAnsi" w:eastAsiaTheme="minorEastAsia" w:hAnsiTheme="minorHAnsi"/>
      <w:sz w:val="20"/>
      <w:szCs w:val="20"/>
    </w:rPr>
  </w:style>
  <w:style w:type="paragraph" w:styleId="TOC5">
    <w:name w:val="toc 5"/>
    <w:basedOn w:val="Normal"/>
    <w:next w:val="Normal"/>
    <w:autoRedefine/>
    <w:uiPriority w:val="39"/>
    <w:unhideWhenUsed/>
    <w:rsid w:val="00E93FA7"/>
    <w:pPr>
      <w:spacing w:after="0" w:line="240" w:lineRule="auto"/>
      <w:ind w:left="960"/>
    </w:pPr>
    <w:rPr>
      <w:rFonts w:asciiTheme="minorHAnsi" w:eastAsiaTheme="minorEastAsia" w:hAnsiTheme="minorHAnsi"/>
      <w:sz w:val="20"/>
      <w:szCs w:val="20"/>
    </w:rPr>
  </w:style>
  <w:style w:type="paragraph" w:styleId="TOC6">
    <w:name w:val="toc 6"/>
    <w:basedOn w:val="Normal"/>
    <w:next w:val="Normal"/>
    <w:autoRedefine/>
    <w:uiPriority w:val="39"/>
    <w:unhideWhenUsed/>
    <w:rsid w:val="00E93FA7"/>
    <w:pPr>
      <w:spacing w:after="0" w:line="240" w:lineRule="auto"/>
      <w:ind w:left="1200"/>
    </w:pPr>
    <w:rPr>
      <w:rFonts w:asciiTheme="minorHAnsi" w:eastAsiaTheme="minorEastAsia" w:hAnsiTheme="minorHAnsi"/>
      <w:sz w:val="20"/>
      <w:szCs w:val="20"/>
    </w:rPr>
  </w:style>
  <w:style w:type="paragraph" w:styleId="TOC7">
    <w:name w:val="toc 7"/>
    <w:basedOn w:val="Normal"/>
    <w:next w:val="Normal"/>
    <w:autoRedefine/>
    <w:uiPriority w:val="39"/>
    <w:unhideWhenUsed/>
    <w:rsid w:val="00E93FA7"/>
    <w:pPr>
      <w:spacing w:after="0" w:line="240" w:lineRule="auto"/>
      <w:ind w:left="1440"/>
    </w:pPr>
    <w:rPr>
      <w:rFonts w:asciiTheme="minorHAnsi" w:eastAsiaTheme="minorEastAsia" w:hAnsiTheme="minorHAnsi"/>
      <w:sz w:val="20"/>
      <w:szCs w:val="20"/>
    </w:rPr>
  </w:style>
  <w:style w:type="paragraph" w:styleId="TOC8">
    <w:name w:val="toc 8"/>
    <w:basedOn w:val="Normal"/>
    <w:next w:val="Normal"/>
    <w:autoRedefine/>
    <w:uiPriority w:val="39"/>
    <w:unhideWhenUsed/>
    <w:rsid w:val="00E93FA7"/>
    <w:pPr>
      <w:spacing w:after="0" w:line="240" w:lineRule="auto"/>
      <w:ind w:left="1680"/>
    </w:pPr>
    <w:rPr>
      <w:rFonts w:asciiTheme="minorHAnsi" w:eastAsiaTheme="minorEastAsia" w:hAnsiTheme="minorHAnsi"/>
      <w:sz w:val="20"/>
      <w:szCs w:val="20"/>
    </w:rPr>
  </w:style>
  <w:style w:type="paragraph" w:styleId="TOC9">
    <w:name w:val="toc 9"/>
    <w:basedOn w:val="Normal"/>
    <w:next w:val="Normal"/>
    <w:autoRedefine/>
    <w:uiPriority w:val="39"/>
    <w:unhideWhenUsed/>
    <w:rsid w:val="00E93FA7"/>
    <w:pPr>
      <w:spacing w:after="0" w:line="240" w:lineRule="auto"/>
      <w:ind w:left="1920"/>
    </w:pPr>
    <w:rPr>
      <w:rFonts w:asciiTheme="minorHAnsi" w:eastAsiaTheme="minorEastAsia" w:hAnsiTheme="minorHAnsi"/>
      <w:sz w:val="20"/>
      <w:szCs w:val="20"/>
    </w:rPr>
  </w:style>
  <w:style w:type="paragraph" w:customStyle="1" w:styleId="ColorfulList-Accent11">
    <w:name w:val="Colorful List - Accent 11"/>
    <w:basedOn w:val="Normal"/>
    <w:link w:val="ColorfulList-Accent1Char"/>
    <w:uiPriority w:val="34"/>
    <w:qFormat/>
    <w:rsid w:val="00E93FA7"/>
    <w:pPr>
      <w:spacing w:after="200" w:line="276" w:lineRule="auto"/>
      <w:ind w:left="720"/>
      <w:contextualSpacing/>
    </w:pPr>
    <w:rPr>
      <w:rFonts w:eastAsia="Calibri" w:cs="Times New Roman"/>
      <w:b/>
      <w:sz w:val="20"/>
      <w:szCs w:val="20"/>
    </w:rPr>
  </w:style>
  <w:style w:type="character" w:customStyle="1" w:styleId="ColorfulList-Accent1Char">
    <w:name w:val="Colorful List - Accent 1 Char"/>
    <w:link w:val="ColorfulList-Accent11"/>
    <w:uiPriority w:val="34"/>
    <w:locked/>
    <w:rsid w:val="00E93FA7"/>
    <w:rPr>
      <w:rFonts w:ascii="Georgia" w:eastAsia="Calibri" w:hAnsi="Georgia" w:cs="Times New Roman"/>
      <w:b/>
      <w:sz w:val="20"/>
      <w:szCs w:val="20"/>
    </w:rPr>
  </w:style>
  <w:style w:type="paragraph" w:styleId="Caption">
    <w:name w:val="caption"/>
    <w:basedOn w:val="Normal"/>
    <w:next w:val="Normal"/>
    <w:uiPriority w:val="99"/>
    <w:unhideWhenUsed/>
    <w:qFormat/>
    <w:rsid w:val="00E93FA7"/>
    <w:pPr>
      <w:spacing w:after="200" w:line="240" w:lineRule="auto"/>
    </w:pPr>
    <w:rPr>
      <w:rFonts w:ascii="Calibri" w:eastAsia="Calibri" w:hAnsi="Calibri" w:cs="Times New Roman"/>
      <w:b/>
      <w:bCs/>
      <w:color w:val="5B9BD5" w:themeColor="accent1"/>
      <w:sz w:val="18"/>
      <w:szCs w:val="18"/>
      <w:lang w:val="en-US"/>
    </w:rPr>
  </w:style>
  <w:style w:type="paragraph" w:customStyle="1" w:styleId="Default">
    <w:name w:val="Default"/>
    <w:uiPriority w:val="99"/>
    <w:rsid w:val="00E93FA7"/>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DocumentMapChar">
    <w:name w:val="Document Map Char"/>
    <w:basedOn w:val="DefaultParagraphFont"/>
    <w:link w:val="DocumentMap"/>
    <w:uiPriority w:val="99"/>
    <w:semiHidden/>
    <w:rsid w:val="00E93FA7"/>
    <w:rPr>
      <w:rFonts w:ascii="Lucida Grande" w:eastAsiaTheme="minorEastAsia" w:hAnsi="Lucida Grande" w:cs="Lucida Grande"/>
      <w:sz w:val="24"/>
      <w:szCs w:val="24"/>
    </w:rPr>
  </w:style>
  <w:style w:type="paragraph" w:styleId="DocumentMap">
    <w:name w:val="Document Map"/>
    <w:basedOn w:val="Normal"/>
    <w:link w:val="DocumentMapChar"/>
    <w:uiPriority w:val="99"/>
    <w:semiHidden/>
    <w:unhideWhenUsed/>
    <w:rsid w:val="00E93FA7"/>
    <w:pPr>
      <w:spacing w:after="0" w:line="240" w:lineRule="auto"/>
    </w:pPr>
    <w:rPr>
      <w:rFonts w:ascii="Lucida Grande" w:eastAsiaTheme="minorEastAsia" w:hAnsi="Lucida Grande" w:cs="Lucida Grande"/>
      <w:sz w:val="24"/>
      <w:szCs w:val="24"/>
    </w:rPr>
  </w:style>
  <w:style w:type="paragraph" w:styleId="NormalWeb">
    <w:name w:val="Normal (Web)"/>
    <w:basedOn w:val="Normal"/>
    <w:uiPriority w:val="99"/>
    <w:semiHidden/>
    <w:unhideWhenUsed/>
    <w:rsid w:val="0067435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332406">
      <w:bodyDiv w:val="1"/>
      <w:marLeft w:val="0"/>
      <w:marRight w:val="0"/>
      <w:marTop w:val="0"/>
      <w:marBottom w:val="0"/>
      <w:divBdr>
        <w:top w:val="none" w:sz="0" w:space="0" w:color="auto"/>
        <w:left w:val="none" w:sz="0" w:space="0" w:color="auto"/>
        <w:bottom w:val="none" w:sz="0" w:space="0" w:color="auto"/>
        <w:right w:val="none" w:sz="0" w:space="0" w:color="auto"/>
      </w:divBdr>
      <w:divsChild>
        <w:div w:id="1037898207">
          <w:marLeft w:val="547"/>
          <w:marRight w:val="0"/>
          <w:marTop w:val="115"/>
          <w:marBottom w:val="0"/>
          <w:divBdr>
            <w:top w:val="none" w:sz="0" w:space="0" w:color="auto"/>
            <w:left w:val="none" w:sz="0" w:space="0" w:color="auto"/>
            <w:bottom w:val="none" w:sz="0" w:space="0" w:color="auto"/>
            <w:right w:val="none" w:sz="0" w:space="0" w:color="auto"/>
          </w:divBdr>
        </w:div>
        <w:div w:id="948779657">
          <w:marLeft w:val="547"/>
          <w:marRight w:val="0"/>
          <w:marTop w:val="115"/>
          <w:marBottom w:val="0"/>
          <w:divBdr>
            <w:top w:val="none" w:sz="0" w:space="0" w:color="auto"/>
            <w:left w:val="none" w:sz="0" w:space="0" w:color="auto"/>
            <w:bottom w:val="none" w:sz="0" w:space="0" w:color="auto"/>
            <w:right w:val="none" w:sz="0" w:space="0" w:color="auto"/>
          </w:divBdr>
        </w:div>
        <w:div w:id="770317809">
          <w:marLeft w:val="547"/>
          <w:marRight w:val="0"/>
          <w:marTop w:val="115"/>
          <w:marBottom w:val="0"/>
          <w:divBdr>
            <w:top w:val="none" w:sz="0" w:space="0" w:color="auto"/>
            <w:left w:val="none" w:sz="0" w:space="0" w:color="auto"/>
            <w:bottom w:val="none" w:sz="0" w:space="0" w:color="auto"/>
            <w:right w:val="none" w:sz="0" w:space="0" w:color="auto"/>
          </w:divBdr>
        </w:div>
        <w:div w:id="1570843107">
          <w:marLeft w:val="547"/>
          <w:marRight w:val="0"/>
          <w:marTop w:val="115"/>
          <w:marBottom w:val="0"/>
          <w:divBdr>
            <w:top w:val="none" w:sz="0" w:space="0" w:color="auto"/>
            <w:left w:val="none" w:sz="0" w:space="0" w:color="auto"/>
            <w:bottom w:val="none" w:sz="0" w:space="0" w:color="auto"/>
            <w:right w:val="none" w:sz="0" w:space="0" w:color="auto"/>
          </w:divBdr>
        </w:div>
      </w:divsChild>
    </w:div>
    <w:div w:id="148251532">
      <w:bodyDiv w:val="1"/>
      <w:marLeft w:val="0"/>
      <w:marRight w:val="0"/>
      <w:marTop w:val="0"/>
      <w:marBottom w:val="0"/>
      <w:divBdr>
        <w:top w:val="none" w:sz="0" w:space="0" w:color="auto"/>
        <w:left w:val="none" w:sz="0" w:space="0" w:color="auto"/>
        <w:bottom w:val="none" w:sz="0" w:space="0" w:color="auto"/>
        <w:right w:val="none" w:sz="0" w:space="0" w:color="auto"/>
      </w:divBdr>
      <w:divsChild>
        <w:div w:id="2122263006">
          <w:marLeft w:val="547"/>
          <w:marRight w:val="0"/>
          <w:marTop w:val="115"/>
          <w:marBottom w:val="0"/>
          <w:divBdr>
            <w:top w:val="none" w:sz="0" w:space="0" w:color="auto"/>
            <w:left w:val="none" w:sz="0" w:space="0" w:color="auto"/>
            <w:bottom w:val="none" w:sz="0" w:space="0" w:color="auto"/>
            <w:right w:val="none" w:sz="0" w:space="0" w:color="auto"/>
          </w:divBdr>
        </w:div>
        <w:div w:id="1364133653">
          <w:marLeft w:val="547"/>
          <w:marRight w:val="0"/>
          <w:marTop w:val="115"/>
          <w:marBottom w:val="0"/>
          <w:divBdr>
            <w:top w:val="none" w:sz="0" w:space="0" w:color="auto"/>
            <w:left w:val="none" w:sz="0" w:space="0" w:color="auto"/>
            <w:bottom w:val="none" w:sz="0" w:space="0" w:color="auto"/>
            <w:right w:val="none" w:sz="0" w:space="0" w:color="auto"/>
          </w:divBdr>
        </w:div>
        <w:div w:id="1196114835">
          <w:marLeft w:val="547"/>
          <w:marRight w:val="0"/>
          <w:marTop w:val="115"/>
          <w:marBottom w:val="0"/>
          <w:divBdr>
            <w:top w:val="none" w:sz="0" w:space="0" w:color="auto"/>
            <w:left w:val="none" w:sz="0" w:space="0" w:color="auto"/>
            <w:bottom w:val="none" w:sz="0" w:space="0" w:color="auto"/>
            <w:right w:val="none" w:sz="0" w:space="0" w:color="auto"/>
          </w:divBdr>
        </w:div>
        <w:div w:id="667251270">
          <w:marLeft w:val="547"/>
          <w:marRight w:val="0"/>
          <w:marTop w:val="115"/>
          <w:marBottom w:val="0"/>
          <w:divBdr>
            <w:top w:val="none" w:sz="0" w:space="0" w:color="auto"/>
            <w:left w:val="none" w:sz="0" w:space="0" w:color="auto"/>
            <w:bottom w:val="none" w:sz="0" w:space="0" w:color="auto"/>
            <w:right w:val="none" w:sz="0" w:space="0" w:color="auto"/>
          </w:divBdr>
        </w:div>
        <w:div w:id="1984239816">
          <w:marLeft w:val="1166"/>
          <w:marRight w:val="0"/>
          <w:marTop w:val="115"/>
          <w:marBottom w:val="0"/>
          <w:divBdr>
            <w:top w:val="none" w:sz="0" w:space="0" w:color="auto"/>
            <w:left w:val="none" w:sz="0" w:space="0" w:color="auto"/>
            <w:bottom w:val="none" w:sz="0" w:space="0" w:color="auto"/>
            <w:right w:val="none" w:sz="0" w:space="0" w:color="auto"/>
          </w:divBdr>
        </w:div>
        <w:div w:id="32973199">
          <w:marLeft w:val="547"/>
          <w:marRight w:val="0"/>
          <w:marTop w:val="115"/>
          <w:marBottom w:val="0"/>
          <w:divBdr>
            <w:top w:val="none" w:sz="0" w:space="0" w:color="auto"/>
            <w:left w:val="none" w:sz="0" w:space="0" w:color="auto"/>
            <w:bottom w:val="none" w:sz="0" w:space="0" w:color="auto"/>
            <w:right w:val="none" w:sz="0" w:space="0" w:color="auto"/>
          </w:divBdr>
        </w:div>
      </w:divsChild>
    </w:div>
    <w:div w:id="150289851">
      <w:bodyDiv w:val="1"/>
      <w:marLeft w:val="0"/>
      <w:marRight w:val="0"/>
      <w:marTop w:val="0"/>
      <w:marBottom w:val="0"/>
      <w:divBdr>
        <w:top w:val="none" w:sz="0" w:space="0" w:color="auto"/>
        <w:left w:val="none" w:sz="0" w:space="0" w:color="auto"/>
        <w:bottom w:val="none" w:sz="0" w:space="0" w:color="auto"/>
        <w:right w:val="none" w:sz="0" w:space="0" w:color="auto"/>
      </w:divBdr>
      <w:divsChild>
        <w:div w:id="1757360168">
          <w:marLeft w:val="547"/>
          <w:marRight w:val="0"/>
          <w:marTop w:val="115"/>
          <w:marBottom w:val="0"/>
          <w:divBdr>
            <w:top w:val="none" w:sz="0" w:space="0" w:color="auto"/>
            <w:left w:val="none" w:sz="0" w:space="0" w:color="auto"/>
            <w:bottom w:val="none" w:sz="0" w:space="0" w:color="auto"/>
            <w:right w:val="none" w:sz="0" w:space="0" w:color="auto"/>
          </w:divBdr>
        </w:div>
        <w:div w:id="784618620">
          <w:marLeft w:val="547"/>
          <w:marRight w:val="0"/>
          <w:marTop w:val="115"/>
          <w:marBottom w:val="0"/>
          <w:divBdr>
            <w:top w:val="none" w:sz="0" w:space="0" w:color="auto"/>
            <w:left w:val="none" w:sz="0" w:space="0" w:color="auto"/>
            <w:bottom w:val="none" w:sz="0" w:space="0" w:color="auto"/>
            <w:right w:val="none" w:sz="0" w:space="0" w:color="auto"/>
          </w:divBdr>
        </w:div>
        <w:div w:id="2059234612">
          <w:marLeft w:val="547"/>
          <w:marRight w:val="0"/>
          <w:marTop w:val="115"/>
          <w:marBottom w:val="0"/>
          <w:divBdr>
            <w:top w:val="none" w:sz="0" w:space="0" w:color="auto"/>
            <w:left w:val="none" w:sz="0" w:space="0" w:color="auto"/>
            <w:bottom w:val="none" w:sz="0" w:space="0" w:color="auto"/>
            <w:right w:val="none" w:sz="0" w:space="0" w:color="auto"/>
          </w:divBdr>
        </w:div>
      </w:divsChild>
    </w:div>
    <w:div w:id="172840828">
      <w:bodyDiv w:val="1"/>
      <w:marLeft w:val="0"/>
      <w:marRight w:val="0"/>
      <w:marTop w:val="0"/>
      <w:marBottom w:val="0"/>
      <w:divBdr>
        <w:top w:val="none" w:sz="0" w:space="0" w:color="auto"/>
        <w:left w:val="none" w:sz="0" w:space="0" w:color="auto"/>
        <w:bottom w:val="none" w:sz="0" w:space="0" w:color="auto"/>
        <w:right w:val="none" w:sz="0" w:space="0" w:color="auto"/>
      </w:divBdr>
      <w:divsChild>
        <w:div w:id="498273191">
          <w:marLeft w:val="547"/>
          <w:marRight w:val="0"/>
          <w:marTop w:val="115"/>
          <w:marBottom w:val="0"/>
          <w:divBdr>
            <w:top w:val="none" w:sz="0" w:space="0" w:color="auto"/>
            <w:left w:val="none" w:sz="0" w:space="0" w:color="auto"/>
            <w:bottom w:val="none" w:sz="0" w:space="0" w:color="auto"/>
            <w:right w:val="none" w:sz="0" w:space="0" w:color="auto"/>
          </w:divBdr>
        </w:div>
      </w:divsChild>
    </w:div>
    <w:div w:id="283196892">
      <w:bodyDiv w:val="1"/>
      <w:marLeft w:val="0"/>
      <w:marRight w:val="0"/>
      <w:marTop w:val="0"/>
      <w:marBottom w:val="0"/>
      <w:divBdr>
        <w:top w:val="none" w:sz="0" w:space="0" w:color="auto"/>
        <w:left w:val="none" w:sz="0" w:space="0" w:color="auto"/>
        <w:bottom w:val="none" w:sz="0" w:space="0" w:color="auto"/>
        <w:right w:val="none" w:sz="0" w:space="0" w:color="auto"/>
      </w:divBdr>
      <w:divsChild>
        <w:div w:id="983393619">
          <w:marLeft w:val="547"/>
          <w:marRight w:val="0"/>
          <w:marTop w:val="115"/>
          <w:marBottom w:val="0"/>
          <w:divBdr>
            <w:top w:val="none" w:sz="0" w:space="0" w:color="auto"/>
            <w:left w:val="none" w:sz="0" w:space="0" w:color="auto"/>
            <w:bottom w:val="none" w:sz="0" w:space="0" w:color="auto"/>
            <w:right w:val="none" w:sz="0" w:space="0" w:color="auto"/>
          </w:divBdr>
        </w:div>
        <w:div w:id="1716003873">
          <w:marLeft w:val="547"/>
          <w:marRight w:val="0"/>
          <w:marTop w:val="115"/>
          <w:marBottom w:val="0"/>
          <w:divBdr>
            <w:top w:val="none" w:sz="0" w:space="0" w:color="auto"/>
            <w:left w:val="none" w:sz="0" w:space="0" w:color="auto"/>
            <w:bottom w:val="none" w:sz="0" w:space="0" w:color="auto"/>
            <w:right w:val="none" w:sz="0" w:space="0" w:color="auto"/>
          </w:divBdr>
        </w:div>
        <w:div w:id="91555000">
          <w:marLeft w:val="547"/>
          <w:marRight w:val="0"/>
          <w:marTop w:val="115"/>
          <w:marBottom w:val="0"/>
          <w:divBdr>
            <w:top w:val="none" w:sz="0" w:space="0" w:color="auto"/>
            <w:left w:val="none" w:sz="0" w:space="0" w:color="auto"/>
            <w:bottom w:val="none" w:sz="0" w:space="0" w:color="auto"/>
            <w:right w:val="none" w:sz="0" w:space="0" w:color="auto"/>
          </w:divBdr>
        </w:div>
        <w:div w:id="369917935">
          <w:marLeft w:val="547"/>
          <w:marRight w:val="0"/>
          <w:marTop w:val="115"/>
          <w:marBottom w:val="0"/>
          <w:divBdr>
            <w:top w:val="none" w:sz="0" w:space="0" w:color="auto"/>
            <w:left w:val="none" w:sz="0" w:space="0" w:color="auto"/>
            <w:bottom w:val="none" w:sz="0" w:space="0" w:color="auto"/>
            <w:right w:val="none" w:sz="0" w:space="0" w:color="auto"/>
          </w:divBdr>
        </w:div>
        <w:div w:id="1619754060">
          <w:marLeft w:val="547"/>
          <w:marRight w:val="0"/>
          <w:marTop w:val="115"/>
          <w:marBottom w:val="0"/>
          <w:divBdr>
            <w:top w:val="none" w:sz="0" w:space="0" w:color="auto"/>
            <w:left w:val="none" w:sz="0" w:space="0" w:color="auto"/>
            <w:bottom w:val="none" w:sz="0" w:space="0" w:color="auto"/>
            <w:right w:val="none" w:sz="0" w:space="0" w:color="auto"/>
          </w:divBdr>
        </w:div>
      </w:divsChild>
    </w:div>
    <w:div w:id="284850801">
      <w:bodyDiv w:val="1"/>
      <w:marLeft w:val="0"/>
      <w:marRight w:val="0"/>
      <w:marTop w:val="0"/>
      <w:marBottom w:val="0"/>
      <w:divBdr>
        <w:top w:val="none" w:sz="0" w:space="0" w:color="auto"/>
        <w:left w:val="none" w:sz="0" w:space="0" w:color="auto"/>
        <w:bottom w:val="none" w:sz="0" w:space="0" w:color="auto"/>
        <w:right w:val="none" w:sz="0" w:space="0" w:color="auto"/>
      </w:divBdr>
      <w:divsChild>
        <w:div w:id="1973972610">
          <w:marLeft w:val="0"/>
          <w:marRight w:val="0"/>
          <w:marTop w:val="0"/>
          <w:marBottom w:val="0"/>
          <w:divBdr>
            <w:top w:val="none" w:sz="0" w:space="0" w:color="auto"/>
            <w:left w:val="none" w:sz="0" w:space="0" w:color="auto"/>
            <w:bottom w:val="none" w:sz="0" w:space="0" w:color="auto"/>
            <w:right w:val="none" w:sz="0" w:space="0" w:color="auto"/>
          </w:divBdr>
          <w:divsChild>
            <w:div w:id="181163571">
              <w:marLeft w:val="0"/>
              <w:marRight w:val="0"/>
              <w:marTop w:val="0"/>
              <w:marBottom w:val="0"/>
              <w:divBdr>
                <w:top w:val="none" w:sz="0" w:space="0" w:color="auto"/>
                <w:left w:val="none" w:sz="0" w:space="0" w:color="auto"/>
                <w:bottom w:val="none" w:sz="0" w:space="0" w:color="auto"/>
                <w:right w:val="none" w:sz="0" w:space="0" w:color="auto"/>
              </w:divBdr>
              <w:divsChild>
                <w:div w:id="513881125">
                  <w:marLeft w:val="0"/>
                  <w:marRight w:val="0"/>
                  <w:marTop w:val="0"/>
                  <w:marBottom w:val="0"/>
                  <w:divBdr>
                    <w:top w:val="none" w:sz="0" w:space="0" w:color="auto"/>
                    <w:left w:val="none" w:sz="0" w:space="0" w:color="auto"/>
                    <w:bottom w:val="none" w:sz="0" w:space="0" w:color="auto"/>
                    <w:right w:val="none" w:sz="0" w:space="0" w:color="auto"/>
                  </w:divBdr>
                  <w:divsChild>
                    <w:div w:id="4199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064344">
      <w:bodyDiv w:val="1"/>
      <w:marLeft w:val="0"/>
      <w:marRight w:val="0"/>
      <w:marTop w:val="0"/>
      <w:marBottom w:val="0"/>
      <w:divBdr>
        <w:top w:val="none" w:sz="0" w:space="0" w:color="auto"/>
        <w:left w:val="none" w:sz="0" w:space="0" w:color="auto"/>
        <w:bottom w:val="none" w:sz="0" w:space="0" w:color="auto"/>
        <w:right w:val="none" w:sz="0" w:space="0" w:color="auto"/>
      </w:divBdr>
      <w:divsChild>
        <w:div w:id="490831798">
          <w:marLeft w:val="0"/>
          <w:marRight w:val="0"/>
          <w:marTop w:val="0"/>
          <w:marBottom w:val="0"/>
          <w:divBdr>
            <w:top w:val="none" w:sz="0" w:space="0" w:color="auto"/>
            <w:left w:val="none" w:sz="0" w:space="0" w:color="auto"/>
            <w:bottom w:val="none" w:sz="0" w:space="0" w:color="auto"/>
            <w:right w:val="none" w:sz="0" w:space="0" w:color="auto"/>
          </w:divBdr>
          <w:divsChild>
            <w:div w:id="2057660681">
              <w:marLeft w:val="0"/>
              <w:marRight w:val="0"/>
              <w:marTop w:val="0"/>
              <w:marBottom w:val="0"/>
              <w:divBdr>
                <w:top w:val="none" w:sz="0" w:space="0" w:color="auto"/>
                <w:left w:val="none" w:sz="0" w:space="0" w:color="auto"/>
                <w:bottom w:val="none" w:sz="0" w:space="0" w:color="auto"/>
                <w:right w:val="none" w:sz="0" w:space="0" w:color="auto"/>
              </w:divBdr>
              <w:divsChild>
                <w:div w:id="1541235852">
                  <w:marLeft w:val="0"/>
                  <w:marRight w:val="0"/>
                  <w:marTop w:val="0"/>
                  <w:marBottom w:val="0"/>
                  <w:divBdr>
                    <w:top w:val="none" w:sz="0" w:space="0" w:color="auto"/>
                    <w:left w:val="none" w:sz="0" w:space="0" w:color="auto"/>
                    <w:bottom w:val="none" w:sz="0" w:space="0" w:color="auto"/>
                    <w:right w:val="none" w:sz="0" w:space="0" w:color="auto"/>
                  </w:divBdr>
                  <w:divsChild>
                    <w:div w:id="6228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64535">
      <w:bodyDiv w:val="1"/>
      <w:marLeft w:val="0"/>
      <w:marRight w:val="0"/>
      <w:marTop w:val="0"/>
      <w:marBottom w:val="0"/>
      <w:divBdr>
        <w:top w:val="none" w:sz="0" w:space="0" w:color="auto"/>
        <w:left w:val="none" w:sz="0" w:space="0" w:color="auto"/>
        <w:bottom w:val="none" w:sz="0" w:space="0" w:color="auto"/>
        <w:right w:val="none" w:sz="0" w:space="0" w:color="auto"/>
      </w:divBdr>
    </w:div>
    <w:div w:id="556741772">
      <w:bodyDiv w:val="1"/>
      <w:marLeft w:val="0"/>
      <w:marRight w:val="0"/>
      <w:marTop w:val="0"/>
      <w:marBottom w:val="0"/>
      <w:divBdr>
        <w:top w:val="none" w:sz="0" w:space="0" w:color="auto"/>
        <w:left w:val="none" w:sz="0" w:space="0" w:color="auto"/>
        <w:bottom w:val="none" w:sz="0" w:space="0" w:color="auto"/>
        <w:right w:val="none" w:sz="0" w:space="0" w:color="auto"/>
      </w:divBdr>
      <w:divsChild>
        <w:div w:id="828448341">
          <w:marLeft w:val="547"/>
          <w:marRight w:val="0"/>
          <w:marTop w:val="106"/>
          <w:marBottom w:val="0"/>
          <w:divBdr>
            <w:top w:val="none" w:sz="0" w:space="0" w:color="auto"/>
            <w:left w:val="none" w:sz="0" w:space="0" w:color="auto"/>
            <w:bottom w:val="none" w:sz="0" w:space="0" w:color="auto"/>
            <w:right w:val="none" w:sz="0" w:space="0" w:color="auto"/>
          </w:divBdr>
        </w:div>
      </w:divsChild>
    </w:div>
    <w:div w:id="643506047">
      <w:bodyDiv w:val="1"/>
      <w:marLeft w:val="0"/>
      <w:marRight w:val="0"/>
      <w:marTop w:val="0"/>
      <w:marBottom w:val="0"/>
      <w:divBdr>
        <w:top w:val="none" w:sz="0" w:space="0" w:color="auto"/>
        <w:left w:val="none" w:sz="0" w:space="0" w:color="auto"/>
        <w:bottom w:val="none" w:sz="0" w:space="0" w:color="auto"/>
        <w:right w:val="none" w:sz="0" w:space="0" w:color="auto"/>
      </w:divBdr>
      <w:divsChild>
        <w:div w:id="1146970570">
          <w:marLeft w:val="547"/>
          <w:marRight w:val="0"/>
          <w:marTop w:val="115"/>
          <w:marBottom w:val="0"/>
          <w:divBdr>
            <w:top w:val="none" w:sz="0" w:space="0" w:color="auto"/>
            <w:left w:val="none" w:sz="0" w:space="0" w:color="auto"/>
            <w:bottom w:val="none" w:sz="0" w:space="0" w:color="auto"/>
            <w:right w:val="none" w:sz="0" w:space="0" w:color="auto"/>
          </w:divBdr>
        </w:div>
      </w:divsChild>
    </w:div>
    <w:div w:id="669451700">
      <w:bodyDiv w:val="1"/>
      <w:marLeft w:val="0"/>
      <w:marRight w:val="0"/>
      <w:marTop w:val="0"/>
      <w:marBottom w:val="0"/>
      <w:divBdr>
        <w:top w:val="none" w:sz="0" w:space="0" w:color="auto"/>
        <w:left w:val="none" w:sz="0" w:space="0" w:color="auto"/>
        <w:bottom w:val="none" w:sz="0" w:space="0" w:color="auto"/>
        <w:right w:val="none" w:sz="0" w:space="0" w:color="auto"/>
      </w:divBdr>
      <w:divsChild>
        <w:div w:id="200285474">
          <w:marLeft w:val="547"/>
          <w:marRight w:val="0"/>
          <w:marTop w:val="115"/>
          <w:marBottom w:val="0"/>
          <w:divBdr>
            <w:top w:val="none" w:sz="0" w:space="0" w:color="auto"/>
            <w:left w:val="none" w:sz="0" w:space="0" w:color="auto"/>
            <w:bottom w:val="none" w:sz="0" w:space="0" w:color="auto"/>
            <w:right w:val="none" w:sz="0" w:space="0" w:color="auto"/>
          </w:divBdr>
        </w:div>
      </w:divsChild>
    </w:div>
    <w:div w:id="719786046">
      <w:bodyDiv w:val="1"/>
      <w:marLeft w:val="0"/>
      <w:marRight w:val="0"/>
      <w:marTop w:val="0"/>
      <w:marBottom w:val="0"/>
      <w:divBdr>
        <w:top w:val="none" w:sz="0" w:space="0" w:color="auto"/>
        <w:left w:val="none" w:sz="0" w:space="0" w:color="auto"/>
        <w:bottom w:val="none" w:sz="0" w:space="0" w:color="auto"/>
        <w:right w:val="none" w:sz="0" w:space="0" w:color="auto"/>
      </w:divBdr>
    </w:div>
    <w:div w:id="756095976">
      <w:bodyDiv w:val="1"/>
      <w:marLeft w:val="0"/>
      <w:marRight w:val="0"/>
      <w:marTop w:val="0"/>
      <w:marBottom w:val="0"/>
      <w:divBdr>
        <w:top w:val="none" w:sz="0" w:space="0" w:color="auto"/>
        <w:left w:val="none" w:sz="0" w:space="0" w:color="auto"/>
        <w:bottom w:val="none" w:sz="0" w:space="0" w:color="auto"/>
        <w:right w:val="none" w:sz="0" w:space="0" w:color="auto"/>
      </w:divBdr>
      <w:divsChild>
        <w:div w:id="935093421">
          <w:marLeft w:val="547"/>
          <w:marRight w:val="0"/>
          <w:marTop w:val="115"/>
          <w:marBottom w:val="0"/>
          <w:divBdr>
            <w:top w:val="none" w:sz="0" w:space="0" w:color="auto"/>
            <w:left w:val="none" w:sz="0" w:space="0" w:color="auto"/>
            <w:bottom w:val="none" w:sz="0" w:space="0" w:color="auto"/>
            <w:right w:val="none" w:sz="0" w:space="0" w:color="auto"/>
          </w:divBdr>
        </w:div>
        <w:div w:id="1564441096">
          <w:marLeft w:val="547"/>
          <w:marRight w:val="0"/>
          <w:marTop w:val="115"/>
          <w:marBottom w:val="0"/>
          <w:divBdr>
            <w:top w:val="none" w:sz="0" w:space="0" w:color="auto"/>
            <w:left w:val="none" w:sz="0" w:space="0" w:color="auto"/>
            <w:bottom w:val="none" w:sz="0" w:space="0" w:color="auto"/>
            <w:right w:val="none" w:sz="0" w:space="0" w:color="auto"/>
          </w:divBdr>
        </w:div>
      </w:divsChild>
    </w:div>
    <w:div w:id="961691222">
      <w:bodyDiv w:val="1"/>
      <w:marLeft w:val="0"/>
      <w:marRight w:val="0"/>
      <w:marTop w:val="0"/>
      <w:marBottom w:val="0"/>
      <w:divBdr>
        <w:top w:val="none" w:sz="0" w:space="0" w:color="auto"/>
        <w:left w:val="none" w:sz="0" w:space="0" w:color="auto"/>
        <w:bottom w:val="none" w:sz="0" w:space="0" w:color="auto"/>
        <w:right w:val="none" w:sz="0" w:space="0" w:color="auto"/>
      </w:divBdr>
      <w:divsChild>
        <w:div w:id="1409109586">
          <w:marLeft w:val="547"/>
          <w:marRight w:val="0"/>
          <w:marTop w:val="96"/>
          <w:marBottom w:val="0"/>
          <w:divBdr>
            <w:top w:val="none" w:sz="0" w:space="0" w:color="auto"/>
            <w:left w:val="none" w:sz="0" w:space="0" w:color="auto"/>
            <w:bottom w:val="none" w:sz="0" w:space="0" w:color="auto"/>
            <w:right w:val="none" w:sz="0" w:space="0" w:color="auto"/>
          </w:divBdr>
        </w:div>
      </w:divsChild>
    </w:div>
    <w:div w:id="1002976123">
      <w:bodyDiv w:val="1"/>
      <w:marLeft w:val="0"/>
      <w:marRight w:val="0"/>
      <w:marTop w:val="0"/>
      <w:marBottom w:val="0"/>
      <w:divBdr>
        <w:top w:val="none" w:sz="0" w:space="0" w:color="auto"/>
        <w:left w:val="none" w:sz="0" w:space="0" w:color="auto"/>
        <w:bottom w:val="none" w:sz="0" w:space="0" w:color="auto"/>
        <w:right w:val="none" w:sz="0" w:space="0" w:color="auto"/>
      </w:divBdr>
      <w:divsChild>
        <w:div w:id="1055396217">
          <w:marLeft w:val="547"/>
          <w:marRight w:val="0"/>
          <w:marTop w:val="115"/>
          <w:marBottom w:val="0"/>
          <w:divBdr>
            <w:top w:val="none" w:sz="0" w:space="0" w:color="auto"/>
            <w:left w:val="none" w:sz="0" w:space="0" w:color="auto"/>
            <w:bottom w:val="none" w:sz="0" w:space="0" w:color="auto"/>
            <w:right w:val="none" w:sz="0" w:space="0" w:color="auto"/>
          </w:divBdr>
        </w:div>
        <w:div w:id="1964459060">
          <w:marLeft w:val="547"/>
          <w:marRight w:val="0"/>
          <w:marTop w:val="115"/>
          <w:marBottom w:val="0"/>
          <w:divBdr>
            <w:top w:val="none" w:sz="0" w:space="0" w:color="auto"/>
            <w:left w:val="none" w:sz="0" w:space="0" w:color="auto"/>
            <w:bottom w:val="none" w:sz="0" w:space="0" w:color="auto"/>
            <w:right w:val="none" w:sz="0" w:space="0" w:color="auto"/>
          </w:divBdr>
        </w:div>
        <w:div w:id="2074962806">
          <w:marLeft w:val="547"/>
          <w:marRight w:val="0"/>
          <w:marTop w:val="115"/>
          <w:marBottom w:val="0"/>
          <w:divBdr>
            <w:top w:val="none" w:sz="0" w:space="0" w:color="auto"/>
            <w:left w:val="none" w:sz="0" w:space="0" w:color="auto"/>
            <w:bottom w:val="none" w:sz="0" w:space="0" w:color="auto"/>
            <w:right w:val="none" w:sz="0" w:space="0" w:color="auto"/>
          </w:divBdr>
        </w:div>
      </w:divsChild>
    </w:div>
    <w:div w:id="1067454948">
      <w:bodyDiv w:val="1"/>
      <w:marLeft w:val="0"/>
      <w:marRight w:val="0"/>
      <w:marTop w:val="0"/>
      <w:marBottom w:val="0"/>
      <w:divBdr>
        <w:top w:val="none" w:sz="0" w:space="0" w:color="auto"/>
        <w:left w:val="none" w:sz="0" w:space="0" w:color="auto"/>
        <w:bottom w:val="none" w:sz="0" w:space="0" w:color="auto"/>
        <w:right w:val="none" w:sz="0" w:space="0" w:color="auto"/>
      </w:divBdr>
      <w:divsChild>
        <w:div w:id="1731611091">
          <w:marLeft w:val="0"/>
          <w:marRight w:val="0"/>
          <w:marTop w:val="0"/>
          <w:marBottom w:val="0"/>
          <w:divBdr>
            <w:top w:val="none" w:sz="0" w:space="0" w:color="auto"/>
            <w:left w:val="none" w:sz="0" w:space="0" w:color="auto"/>
            <w:bottom w:val="none" w:sz="0" w:space="0" w:color="auto"/>
            <w:right w:val="none" w:sz="0" w:space="0" w:color="auto"/>
          </w:divBdr>
          <w:divsChild>
            <w:div w:id="668404262">
              <w:marLeft w:val="0"/>
              <w:marRight w:val="0"/>
              <w:marTop w:val="0"/>
              <w:marBottom w:val="0"/>
              <w:divBdr>
                <w:top w:val="none" w:sz="0" w:space="0" w:color="auto"/>
                <w:left w:val="none" w:sz="0" w:space="0" w:color="auto"/>
                <w:bottom w:val="none" w:sz="0" w:space="0" w:color="auto"/>
                <w:right w:val="none" w:sz="0" w:space="0" w:color="auto"/>
              </w:divBdr>
              <w:divsChild>
                <w:div w:id="533273703">
                  <w:marLeft w:val="0"/>
                  <w:marRight w:val="0"/>
                  <w:marTop w:val="0"/>
                  <w:marBottom w:val="0"/>
                  <w:divBdr>
                    <w:top w:val="none" w:sz="0" w:space="0" w:color="auto"/>
                    <w:left w:val="none" w:sz="0" w:space="0" w:color="auto"/>
                    <w:bottom w:val="none" w:sz="0" w:space="0" w:color="auto"/>
                    <w:right w:val="none" w:sz="0" w:space="0" w:color="auto"/>
                  </w:divBdr>
                  <w:divsChild>
                    <w:div w:id="7927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27319">
      <w:bodyDiv w:val="1"/>
      <w:marLeft w:val="0"/>
      <w:marRight w:val="0"/>
      <w:marTop w:val="0"/>
      <w:marBottom w:val="0"/>
      <w:divBdr>
        <w:top w:val="none" w:sz="0" w:space="0" w:color="auto"/>
        <w:left w:val="none" w:sz="0" w:space="0" w:color="auto"/>
        <w:bottom w:val="none" w:sz="0" w:space="0" w:color="auto"/>
        <w:right w:val="none" w:sz="0" w:space="0" w:color="auto"/>
      </w:divBdr>
      <w:divsChild>
        <w:div w:id="1651902206">
          <w:marLeft w:val="547"/>
          <w:marRight w:val="0"/>
          <w:marTop w:val="96"/>
          <w:marBottom w:val="0"/>
          <w:divBdr>
            <w:top w:val="none" w:sz="0" w:space="0" w:color="auto"/>
            <w:left w:val="none" w:sz="0" w:space="0" w:color="auto"/>
            <w:bottom w:val="none" w:sz="0" w:space="0" w:color="auto"/>
            <w:right w:val="none" w:sz="0" w:space="0" w:color="auto"/>
          </w:divBdr>
        </w:div>
      </w:divsChild>
    </w:div>
    <w:div w:id="1079987826">
      <w:bodyDiv w:val="1"/>
      <w:marLeft w:val="0"/>
      <w:marRight w:val="0"/>
      <w:marTop w:val="0"/>
      <w:marBottom w:val="0"/>
      <w:divBdr>
        <w:top w:val="none" w:sz="0" w:space="0" w:color="auto"/>
        <w:left w:val="none" w:sz="0" w:space="0" w:color="auto"/>
        <w:bottom w:val="none" w:sz="0" w:space="0" w:color="auto"/>
        <w:right w:val="none" w:sz="0" w:space="0" w:color="auto"/>
      </w:divBdr>
      <w:divsChild>
        <w:div w:id="16006883">
          <w:marLeft w:val="547"/>
          <w:marRight w:val="0"/>
          <w:marTop w:val="115"/>
          <w:marBottom w:val="0"/>
          <w:divBdr>
            <w:top w:val="none" w:sz="0" w:space="0" w:color="auto"/>
            <w:left w:val="none" w:sz="0" w:space="0" w:color="auto"/>
            <w:bottom w:val="none" w:sz="0" w:space="0" w:color="auto"/>
            <w:right w:val="none" w:sz="0" w:space="0" w:color="auto"/>
          </w:divBdr>
        </w:div>
        <w:div w:id="1230925719">
          <w:marLeft w:val="547"/>
          <w:marRight w:val="0"/>
          <w:marTop w:val="115"/>
          <w:marBottom w:val="0"/>
          <w:divBdr>
            <w:top w:val="none" w:sz="0" w:space="0" w:color="auto"/>
            <w:left w:val="none" w:sz="0" w:space="0" w:color="auto"/>
            <w:bottom w:val="none" w:sz="0" w:space="0" w:color="auto"/>
            <w:right w:val="none" w:sz="0" w:space="0" w:color="auto"/>
          </w:divBdr>
        </w:div>
        <w:div w:id="1539466326">
          <w:marLeft w:val="547"/>
          <w:marRight w:val="0"/>
          <w:marTop w:val="115"/>
          <w:marBottom w:val="0"/>
          <w:divBdr>
            <w:top w:val="none" w:sz="0" w:space="0" w:color="auto"/>
            <w:left w:val="none" w:sz="0" w:space="0" w:color="auto"/>
            <w:bottom w:val="none" w:sz="0" w:space="0" w:color="auto"/>
            <w:right w:val="none" w:sz="0" w:space="0" w:color="auto"/>
          </w:divBdr>
        </w:div>
        <w:div w:id="59057760">
          <w:marLeft w:val="547"/>
          <w:marRight w:val="0"/>
          <w:marTop w:val="115"/>
          <w:marBottom w:val="0"/>
          <w:divBdr>
            <w:top w:val="none" w:sz="0" w:space="0" w:color="auto"/>
            <w:left w:val="none" w:sz="0" w:space="0" w:color="auto"/>
            <w:bottom w:val="none" w:sz="0" w:space="0" w:color="auto"/>
            <w:right w:val="none" w:sz="0" w:space="0" w:color="auto"/>
          </w:divBdr>
        </w:div>
        <w:div w:id="2130080114">
          <w:marLeft w:val="547"/>
          <w:marRight w:val="0"/>
          <w:marTop w:val="115"/>
          <w:marBottom w:val="0"/>
          <w:divBdr>
            <w:top w:val="none" w:sz="0" w:space="0" w:color="auto"/>
            <w:left w:val="none" w:sz="0" w:space="0" w:color="auto"/>
            <w:bottom w:val="none" w:sz="0" w:space="0" w:color="auto"/>
            <w:right w:val="none" w:sz="0" w:space="0" w:color="auto"/>
          </w:divBdr>
        </w:div>
      </w:divsChild>
    </w:div>
    <w:div w:id="1251160068">
      <w:bodyDiv w:val="1"/>
      <w:marLeft w:val="0"/>
      <w:marRight w:val="0"/>
      <w:marTop w:val="0"/>
      <w:marBottom w:val="0"/>
      <w:divBdr>
        <w:top w:val="none" w:sz="0" w:space="0" w:color="auto"/>
        <w:left w:val="none" w:sz="0" w:space="0" w:color="auto"/>
        <w:bottom w:val="none" w:sz="0" w:space="0" w:color="auto"/>
        <w:right w:val="none" w:sz="0" w:space="0" w:color="auto"/>
      </w:divBdr>
      <w:divsChild>
        <w:div w:id="1746872435">
          <w:marLeft w:val="547"/>
          <w:marRight w:val="0"/>
          <w:marTop w:val="115"/>
          <w:marBottom w:val="0"/>
          <w:divBdr>
            <w:top w:val="none" w:sz="0" w:space="0" w:color="auto"/>
            <w:left w:val="none" w:sz="0" w:space="0" w:color="auto"/>
            <w:bottom w:val="none" w:sz="0" w:space="0" w:color="auto"/>
            <w:right w:val="none" w:sz="0" w:space="0" w:color="auto"/>
          </w:divBdr>
        </w:div>
      </w:divsChild>
    </w:div>
    <w:div w:id="1599630963">
      <w:bodyDiv w:val="1"/>
      <w:marLeft w:val="0"/>
      <w:marRight w:val="0"/>
      <w:marTop w:val="0"/>
      <w:marBottom w:val="0"/>
      <w:divBdr>
        <w:top w:val="none" w:sz="0" w:space="0" w:color="auto"/>
        <w:left w:val="none" w:sz="0" w:space="0" w:color="auto"/>
        <w:bottom w:val="none" w:sz="0" w:space="0" w:color="auto"/>
        <w:right w:val="none" w:sz="0" w:space="0" w:color="auto"/>
      </w:divBdr>
      <w:divsChild>
        <w:div w:id="486823431">
          <w:marLeft w:val="547"/>
          <w:marRight w:val="0"/>
          <w:marTop w:val="115"/>
          <w:marBottom w:val="0"/>
          <w:divBdr>
            <w:top w:val="none" w:sz="0" w:space="0" w:color="auto"/>
            <w:left w:val="none" w:sz="0" w:space="0" w:color="auto"/>
            <w:bottom w:val="none" w:sz="0" w:space="0" w:color="auto"/>
            <w:right w:val="none" w:sz="0" w:space="0" w:color="auto"/>
          </w:divBdr>
        </w:div>
      </w:divsChild>
    </w:div>
    <w:div w:id="1752193581">
      <w:bodyDiv w:val="1"/>
      <w:marLeft w:val="0"/>
      <w:marRight w:val="0"/>
      <w:marTop w:val="0"/>
      <w:marBottom w:val="0"/>
      <w:divBdr>
        <w:top w:val="none" w:sz="0" w:space="0" w:color="auto"/>
        <w:left w:val="none" w:sz="0" w:space="0" w:color="auto"/>
        <w:bottom w:val="none" w:sz="0" w:space="0" w:color="auto"/>
        <w:right w:val="none" w:sz="0" w:space="0" w:color="auto"/>
      </w:divBdr>
      <w:divsChild>
        <w:div w:id="1311130838">
          <w:marLeft w:val="0"/>
          <w:marRight w:val="0"/>
          <w:marTop w:val="0"/>
          <w:marBottom w:val="0"/>
          <w:divBdr>
            <w:top w:val="none" w:sz="0" w:space="0" w:color="auto"/>
            <w:left w:val="none" w:sz="0" w:space="0" w:color="auto"/>
            <w:bottom w:val="none" w:sz="0" w:space="0" w:color="auto"/>
            <w:right w:val="none" w:sz="0" w:space="0" w:color="auto"/>
          </w:divBdr>
          <w:divsChild>
            <w:div w:id="1366909651">
              <w:marLeft w:val="0"/>
              <w:marRight w:val="0"/>
              <w:marTop w:val="0"/>
              <w:marBottom w:val="0"/>
              <w:divBdr>
                <w:top w:val="none" w:sz="0" w:space="0" w:color="auto"/>
                <w:left w:val="none" w:sz="0" w:space="0" w:color="auto"/>
                <w:bottom w:val="none" w:sz="0" w:space="0" w:color="auto"/>
                <w:right w:val="none" w:sz="0" w:space="0" w:color="auto"/>
              </w:divBdr>
              <w:divsChild>
                <w:div w:id="568274752">
                  <w:marLeft w:val="0"/>
                  <w:marRight w:val="0"/>
                  <w:marTop w:val="0"/>
                  <w:marBottom w:val="0"/>
                  <w:divBdr>
                    <w:top w:val="none" w:sz="0" w:space="0" w:color="auto"/>
                    <w:left w:val="none" w:sz="0" w:space="0" w:color="auto"/>
                    <w:bottom w:val="none" w:sz="0" w:space="0" w:color="auto"/>
                    <w:right w:val="none" w:sz="0" w:space="0" w:color="auto"/>
                  </w:divBdr>
                  <w:divsChild>
                    <w:div w:id="5461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7528">
      <w:bodyDiv w:val="1"/>
      <w:marLeft w:val="0"/>
      <w:marRight w:val="0"/>
      <w:marTop w:val="0"/>
      <w:marBottom w:val="0"/>
      <w:divBdr>
        <w:top w:val="none" w:sz="0" w:space="0" w:color="auto"/>
        <w:left w:val="none" w:sz="0" w:space="0" w:color="auto"/>
        <w:bottom w:val="none" w:sz="0" w:space="0" w:color="auto"/>
        <w:right w:val="none" w:sz="0" w:space="0" w:color="auto"/>
      </w:divBdr>
      <w:divsChild>
        <w:div w:id="2067797154">
          <w:marLeft w:val="547"/>
          <w:marRight w:val="0"/>
          <w:marTop w:val="115"/>
          <w:marBottom w:val="0"/>
          <w:divBdr>
            <w:top w:val="none" w:sz="0" w:space="0" w:color="auto"/>
            <w:left w:val="none" w:sz="0" w:space="0" w:color="auto"/>
            <w:bottom w:val="none" w:sz="0" w:space="0" w:color="auto"/>
            <w:right w:val="none" w:sz="0" w:space="0" w:color="auto"/>
          </w:divBdr>
        </w:div>
        <w:div w:id="733311757">
          <w:marLeft w:val="547"/>
          <w:marRight w:val="0"/>
          <w:marTop w:val="115"/>
          <w:marBottom w:val="0"/>
          <w:divBdr>
            <w:top w:val="none" w:sz="0" w:space="0" w:color="auto"/>
            <w:left w:val="none" w:sz="0" w:space="0" w:color="auto"/>
            <w:bottom w:val="none" w:sz="0" w:space="0" w:color="auto"/>
            <w:right w:val="none" w:sz="0" w:space="0" w:color="auto"/>
          </w:divBdr>
        </w:div>
        <w:div w:id="1385568147">
          <w:marLeft w:val="547"/>
          <w:marRight w:val="0"/>
          <w:marTop w:val="115"/>
          <w:marBottom w:val="0"/>
          <w:divBdr>
            <w:top w:val="none" w:sz="0" w:space="0" w:color="auto"/>
            <w:left w:val="none" w:sz="0" w:space="0" w:color="auto"/>
            <w:bottom w:val="none" w:sz="0" w:space="0" w:color="auto"/>
            <w:right w:val="none" w:sz="0" w:space="0" w:color="auto"/>
          </w:divBdr>
        </w:div>
        <w:div w:id="149489394">
          <w:marLeft w:val="547"/>
          <w:marRight w:val="0"/>
          <w:marTop w:val="115"/>
          <w:marBottom w:val="0"/>
          <w:divBdr>
            <w:top w:val="none" w:sz="0" w:space="0" w:color="auto"/>
            <w:left w:val="none" w:sz="0" w:space="0" w:color="auto"/>
            <w:bottom w:val="none" w:sz="0" w:space="0" w:color="auto"/>
            <w:right w:val="none" w:sz="0" w:space="0" w:color="auto"/>
          </w:divBdr>
        </w:div>
        <w:div w:id="1489248206">
          <w:marLeft w:val="547"/>
          <w:marRight w:val="0"/>
          <w:marTop w:val="115"/>
          <w:marBottom w:val="0"/>
          <w:divBdr>
            <w:top w:val="none" w:sz="0" w:space="0" w:color="auto"/>
            <w:left w:val="none" w:sz="0" w:space="0" w:color="auto"/>
            <w:bottom w:val="none" w:sz="0" w:space="0" w:color="auto"/>
            <w:right w:val="none" w:sz="0" w:space="0" w:color="auto"/>
          </w:divBdr>
        </w:div>
        <w:div w:id="316153384">
          <w:marLeft w:val="547"/>
          <w:marRight w:val="0"/>
          <w:marTop w:val="115"/>
          <w:marBottom w:val="0"/>
          <w:divBdr>
            <w:top w:val="none" w:sz="0" w:space="0" w:color="auto"/>
            <w:left w:val="none" w:sz="0" w:space="0" w:color="auto"/>
            <w:bottom w:val="none" w:sz="0" w:space="0" w:color="auto"/>
            <w:right w:val="none" w:sz="0" w:space="0" w:color="auto"/>
          </w:divBdr>
        </w:div>
      </w:divsChild>
    </w:div>
    <w:div w:id="2068406246">
      <w:bodyDiv w:val="1"/>
      <w:marLeft w:val="0"/>
      <w:marRight w:val="0"/>
      <w:marTop w:val="0"/>
      <w:marBottom w:val="0"/>
      <w:divBdr>
        <w:top w:val="none" w:sz="0" w:space="0" w:color="auto"/>
        <w:left w:val="none" w:sz="0" w:space="0" w:color="auto"/>
        <w:bottom w:val="none" w:sz="0" w:space="0" w:color="auto"/>
        <w:right w:val="none" w:sz="0" w:space="0" w:color="auto"/>
      </w:divBdr>
      <w:divsChild>
        <w:div w:id="619145737">
          <w:marLeft w:val="547"/>
          <w:marRight w:val="0"/>
          <w:marTop w:val="115"/>
          <w:marBottom w:val="0"/>
          <w:divBdr>
            <w:top w:val="none" w:sz="0" w:space="0" w:color="auto"/>
            <w:left w:val="none" w:sz="0" w:space="0" w:color="auto"/>
            <w:bottom w:val="none" w:sz="0" w:space="0" w:color="auto"/>
            <w:right w:val="none" w:sz="0" w:space="0" w:color="auto"/>
          </w:divBdr>
        </w:div>
      </w:divsChild>
    </w:div>
    <w:div w:id="2088071903">
      <w:bodyDiv w:val="1"/>
      <w:marLeft w:val="0"/>
      <w:marRight w:val="0"/>
      <w:marTop w:val="0"/>
      <w:marBottom w:val="0"/>
      <w:divBdr>
        <w:top w:val="none" w:sz="0" w:space="0" w:color="auto"/>
        <w:left w:val="none" w:sz="0" w:space="0" w:color="auto"/>
        <w:bottom w:val="none" w:sz="0" w:space="0" w:color="auto"/>
        <w:right w:val="none" w:sz="0" w:space="0" w:color="auto"/>
      </w:divBdr>
      <w:divsChild>
        <w:div w:id="184825305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globalfund.org/en/applying/funding/resour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globalfund.org/en/applying/funding/resourc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heglobalfund.org/en/fundingmodel/process/cofinancing/" TargetMode="External"/><Relationship Id="rId2" Type="http://schemas.openxmlformats.org/officeDocument/2006/relationships/hyperlink" Target="http://www.theglobalfund.org/en/fundingmodel/process/cofinancing/" TargetMode="External"/><Relationship Id="rId1" Type="http://schemas.openxmlformats.org/officeDocument/2006/relationships/hyperlink" Target="http://www.theglobalfund.org/en/fundingmodel/process/eligibilit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eanhewitt:Desktop:GoB%20resources%20for%20NSP%2017013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8"/>
  <c:chart>
    <c:autoTitleDeleted val="1"/>
    <c:plotArea>
      <c:layout/>
      <c:lineChart>
        <c:grouping val="standard"/>
        <c:ser>
          <c:idx val="0"/>
          <c:order val="0"/>
          <c:tx>
            <c:strRef>
              <c:f>Sheet1!$A$3</c:f>
              <c:strCache>
                <c:ptCount val="1"/>
                <c:pt idx="0">
                  <c:v>US$M</c:v>
                </c:pt>
              </c:strCache>
            </c:strRef>
          </c:tx>
          <c:spPr>
            <a:ln w="12700">
              <a:solidFill>
                <a:schemeClr val="tx1"/>
              </a:solidFill>
            </a:ln>
          </c:spPr>
          <c:marker>
            <c:symbol val="circle"/>
            <c:size val="6"/>
            <c:spPr>
              <a:solidFill>
                <a:schemeClr val="bg1"/>
              </a:solidFill>
              <a:ln w="12700">
                <a:solidFill>
                  <a:schemeClr val="tx1"/>
                </a:solidFill>
              </a:ln>
            </c:spPr>
          </c:marker>
          <c:cat>
            <c:numRef>
              <c:f>Sheet1!$B$2:$G$2</c:f>
              <c:numCache>
                <c:formatCode>General</c:formatCode>
                <c:ptCount val="6"/>
                <c:pt idx="0">
                  <c:v>2014</c:v>
                </c:pt>
                <c:pt idx="1">
                  <c:v>2015</c:v>
                </c:pt>
                <c:pt idx="2">
                  <c:v>2016</c:v>
                </c:pt>
                <c:pt idx="3">
                  <c:v>2017</c:v>
                </c:pt>
                <c:pt idx="4">
                  <c:v>2018</c:v>
                </c:pt>
                <c:pt idx="5">
                  <c:v>2019</c:v>
                </c:pt>
              </c:numCache>
            </c:numRef>
          </c:cat>
          <c:val>
            <c:numRef>
              <c:f>Sheet1!$B$3:$G$3</c:f>
              <c:numCache>
                <c:formatCode>#,##0.0</c:formatCode>
                <c:ptCount val="6"/>
                <c:pt idx="0">
                  <c:v>2.064578</c:v>
                </c:pt>
                <c:pt idx="1">
                  <c:v>3.561229</c:v>
                </c:pt>
                <c:pt idx="2">
                  <c:v>2.8889809999999998</c:v>
                </c:pt>
                <c:pt idx="3">
                  <c:v>3.7979590000000001</c:v>
                </c:pt>
                <c:pt idx="4">
                  <c:v>4.6056869999999952</c:v>
                </c:pt>
                <c:pt idx="5">
                  <c:v>2.8703949999999998</c:v>
                </c:pt>
              </c:numCache>
            </c:numRef>
          </c:val>
        </c:ser>
        <c:marker val="1"/>
        <c:axId val="200681344"/>
        <c:axId val="110845952"/>
      </c:lineChart>
      <c:catAx>
        <c:axId val="200681344"/>
        <c:scaling>
          <c:orientation val="minMax"/>
        </c:scaling>
        <c:axPos val="b"/>
        <c:numFmt formatCode="General" sourceLinked="1"/>
        <c:tickLblPos val="nextTo"/>
        <c:txPr>
          <a:bodyPr/>
          <a:lstStyle/>
          <a:p>
            <a:pPr>
              <a:defRPr lang="en-US"/>
            </a:pPr>
            <a:endParaRPr lang="en-US"/>
          </a:p>
        </c:txPr>
        <c:crossAx val="110845952"/>
        <c:crosses val="autoZero"/>
        <c:auto val="1"/>
        <c:lblAlgn val="ctr"/>
        <c:lblOffset val="100"/>
      </c:catAx>
      <c:valAx>
        <c:axId val="110845952"/>
        <c:scaling>
          <c:orientation val="minMax"/>
        </c:scaling>
        <c:axPos val="l"/>
        <c:majorGridlines/>
        <c:title>
          <c:tx>
            <c:rich>
              <a:bodyPr rot="-5400000" vert="horz"/>
              <a:lstStyle/>
              <a:p>
                <a:pPr>
                  <a:defRPr lang="en-US" b="0"/>
                </a:pPr>
                <a:r>
                  <a:rPr lang="en-US" b="0"/>
                  <a:t>US$M</a:t>
                </a:r>
              </a:p>
            </c:rich>
          </c:tx>
        </c:title>
        <c:numFmt formatCode="#,##0.0" sourceLinked="1"/>
        <c:tickLblPos val="nextTo"/>
        <c:txPr>
          <a:bodyPr/>
          <a:lstStyle/>
          <a:p>
            <a:pPr>
              <a:defRPr lang="en-US"/>
            </a:pPr>
            <a:endParaRPr lang="en-US"/>
          </a:p>
        </c:txPr>
        <c:crossAx val="200681344"/>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03ac030-8fc0-429e-a59d-aec15056182b">3NAZ7T4E3CZ3-539361286-30</_dlc_DocId>
    <_dlc_DocIdUrl xmlns="a03ac030-8fc0-429e-a59d-aec15056182b">
      <Url>https://tgf.sharepoint.com/sites/TSA2F1/A2FD/_layouts/15/DocIdRedir.aspx?ID=3NAZ7T4E3CZ3-539361286-30</Url>
      <Description>3NAZ7T4E3CZ3-539361286-30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4F5FB86B24744BC1AA41336D5CD4B" ma:contentTypeVersion="0" ma:contentTypeDescription="Create a new document." ma:contentTypeScope="" ma:versionID="8685a0eab63e14222efc4320bb780fb9">
  <xsd:schema xmlns:xsd="http://www.w3.org/2001/XMLSchema" xmlns:xs="http://www.w3.org/2001/XMLSchema" xmlns:p="http://schemas.microsoft.com/office/2006/metadata/properties" xmlns:ns2="a03ac030-8fc0-429e-a59d-aec15056182b" targetNamespace="http://schemas.microsoft.com/office/2006/metadata/properties" ma:root="true" ma:fieldsID="ef9b96effaf534e271422cf91052dab0" ns2:_="">
    <xsd:import namespace="a03ac030-8fc0-429e-a59d-aec1505618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221C-1554-47A9-A9BA-6CA0DD96BF8C}">
  <ds:schemaRefs>
    <ds:schemaRef ds:uri="http://schemas.microsoft.com/office/2006/metadata/properties"/>
    <ds:schemaRef ds:uri="http://schemas.microsoft.com/office/infopath/2007/PartnerControls"/>
    <ds:schemaRef ds:uri="a03ac030-8fc0-429e-a59d-aec15056182b"/>
  </ds:schemaRefs>
</ds:datastoreItem>
</file>

<file path=customXml/itemProps2.xml><?xml version="1.0" encoding="utf-8"?>
<ds:datastoreItem xmlns:ds="http://schemas.openxmlformats.org/officeDocument/2006/customXml" ds:itemID="{A1661071-9F15-4AB2-B585-DF3BF6CE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EA99D-29D3-4154-9155-88D5478349F8}">
  <ds:schemaRefs>
    <ds:schemaRef ds:uri="http://schemas.microsoft.com/sharepoint/events"/>
  </ds:schemaRefs>
</ds:datastoreItem>
</file>

<file path=customXml/itemProps4.xml><?xml version="1.0" encoding="utf-8"?>
<ds:datastoreItem xmlns:ds="http://schemas.openxmlformats.org/officeDocument/2006/customXml" ds:itemID="{94C9F7C9-EDF4-4A78-BAB4-A3D4AAA6B004}">
  <ds:schemaRefs>
    <ds:schemaRef ds:uri="http://schemas.microsoft.com/sharepoint/v3/contenttype/forms"/>
  </ds:schemaRefs>
</ds:datastoreItem>
</file>

<file path=customXml/itemProps5.xml><?xml version="1.0" encoding="utf-8"?>
<ds:datastoreItem xmlns:ds="http://schemas.openxmlformats.org/officeDocument/2006/customXml" ds:itemID="{A52E2C44-3450-4793-B8A1-7CC00D17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10338</Words>
  <Characters>58927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Funding Request_Full_ENG</vt:lpstr>
    </vt:vector>
  </TitlesOfParts>
  <Company>Microsoft</Company>
  <LinksUpToDate>false</LinksUpToDate>
  <CharactersWithSpaces>69127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Request_Full_ENG</dc:title>
  <dc:creator>Laura Stocker</dc:creator>
  <cp:lastModifiedBy>119173</cp:lastModifiedBy>
  <cp:revision>3</cp:revision>
  <cp:lastPrinted>2016-10-25T08:33:00Z</cp:lastPrinted>
  <dcterms:created xsi:type="dcterms:W3CDTF">2017-02-14T09:37:00Z</dcterms:created>
  <dcterms:modified xsi:type="dcterms:W3CDTF">2017-02-14T09:46:00Z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0x0101002714F5FB86B24744BC1AA41336D5CD4B</vt:lpwstr>
  </property>
  <property fmtid="{D5CDD505-2E9C-101B-9397-08002B2CF9AE}" pid="3" name="_dlc_DocIdItemGuid">
    <vt:lpwstr>3ed2c8ee-c62b-4346-ab96-f135469a0c0e</vt:lpwstr>
  </property>
  <property fmtid="{D5CDD505-2E9C-101B-9397-08002B2CF9AE}" pid="4" name="_dlc_DocId">
    <vt:lpwstr>3NAZ7T4E3CZ3-1392380233-471</vt:lpwstr>
  </property>
  <property fmtid="{D5CDD505-2E9C-101B-9397-08002B2CF9AE}" pid="5" name="_dlc_DocIdUrl">
    <vt:lpwstr>https://tgf.sharepoint.com/sites/TSA2F1/ASTM/_layouts/15/DocIdRedir.aspx?ID=3NAZ7T4E3CZ3-1392380233-471, 3NAZ7T4E3CZ3-1392380233-471</vt:lpwstr>
  </property>
</Properties>
</file>